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39fb7ev5vhzm" w:id="0"/>
      <w:bookmarkEnd w:id="0"/>
      <w:r w:rsidDel="00000000" w:rsidR="00000000" w:rsidRPr="00000000">
        <w:rPr>
          <w:rtl w:val="0"/>
        </w:rPr>
        <w:t xml:space="preserve">ANEXO D</w:t>
      </w:r>
    </w:p>
    <w:p w:rsidR="00000000" w:rsidDel="00000000" w:rsidP="00000000" w:rsidRDefault="00000000" w:rsidRPr="00000000" w14:paraId="00000002">
      <w:pPr>
        <w:jc w:val="center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DECLARAÇÃO DA NÃO OCORRÊNCIA DE IMPEDIMENTOS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Declaro para os devidos fins, nos termos do art. 26, caput, inciso IX, do Decreto nº 8.726, de 2016, que a </w:t>
      </w:r>
      <w:r w:rsidDel="00000000" w:rsidR="00000000" w:rsidRPr="00000000">
        <w:rPr>
          <w:highlight w:val="yellow"/>
          <w:rtl w:val="0"/>
        </w:rPr>
        <w:t xml:space="preserve">[identificação da organização da sociedade civil – OSC]</w:t>
      </w:r>
      <w:r w:rsidDel="00000000" w:rsidR="00000000" w:rsidRPr="00000000">
        <w:rPr>
          <w:rtl w:val="0"/>
        </w:rPr>
        <w:t xml:space="preserve"> e seus dirigentes não incorrem em quaisquer das vedações previstas no art. 39 da Lei nº 13.019, de 2014.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Nesse sentido, a citada entidade: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Está regularmente constituída ou, se estrangeira, está autorizada a funcionar no território nacional;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foi omissa no dever de prestar contas de parceria anteriormente celebrada;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tem como dirigente membro de Poder ou do Ministério Público, ou dirigente de órgão ou entidade da administração pública da mesma esfera governamental na qual será celebrado o termo de fomento, estendendo-se a vedação aos respectivos cônjuges ou companheiros, bem como parentes em linha reta, colateral ou por afinidade, até o segundo grau.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Observação: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13.019, de 2014);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teve as contas rejeitadas pela administração pública nos últimos cinco anos, observadas as exceções previstas no art. 39, caput, inciso IV, alíneas “a” a “c”, da Lei nº 13.019, de 2014;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teve contas de parceria julgadas irregulares ou rejeitadas por Tribunal ou Conselho de Contas de qualquer esfera da Federação, em decisão irrecorrível, nos últimos 8 (oito) anos;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Local-UF, de XXXXX de 2023.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(Nome e Cargo do Representante Legal da OSC)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AB526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GLkcBGE+86KUj2hdzrMZYvPS8w==">CgMxLjAyDmguMzlmYjdldjV2aHptMghoLmdqZGd4czgAciExdEVpcVU4ZFEzRC1RSXlYaGRLYUxqVGNSa0FHVlBlVV8=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2024-03-05T13:18:00Z</dcterms:created>
  <dc:creator>Usuario</dc:creator>
</cp:coreProperties>
</file>