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2" w:rsidRDefault="00F37C3F">
      <w:pPr>
        <w:pStyle w:val="Textbody"/>
        <w:spacing w:after="0" w:line="288" w:lineRule="auto"/>
        <w:jc w:val="right"/>
        <w:rPr>
          <w:rFonts w:ascii="Times New Roman" w:hAnsi="Times New Roman"/>
          <w:b/>
          <w:color w:val="000000"/>
          <w:sz w:val="20"/>
        </w:rPr>
      </w:pPr>
      <w:bookmarkStart w:id="0" w:name="docs-internal-guid-b64aaaaa-7fff-4012-1b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0"/>
        </w:rPr>
        <w:t>PCD 125.611</w:t>
      </w:r>
    </w:p>
    <w:p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8089"/>
      </w:tblGrid>
      <w:tr w:rsidR="006443A2">
        <w:tblPrEx>
          <w:tblCellMar>
            <w:top w:w="0" w:type="dxa"/>
            <w:bottom w:w="0" w:type="dxa"/>
          </w:tblCellMar>
        </w:tblPrEx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638280" cy="333360"/>
                  <wp:effectExtent l="0" t="0" r="9420" b="0"/>
                  <wp:docPr id="1" name="Figura1" title="ufj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UNIVERSIDADE FEDERAL DE JUIZ DE FORA</w:t>
            </w:r>
          </w:p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PRÓ-REITORIA DE GRADUAÇÃO</w:t>
            </w:r>
          </w:p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COORDENAÇÃO DOS PROGRAMAS DE GRADUAÇÃO</w:t>
            </w:r>
          </w:p>
        </w:tc>
      </w:tr>
    </w:tbl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32"/>
        </w:rPr>
        <w:t>EDITAL DE SELEÇÃO DE MONITORIA GRADUAÇÃO /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40"/>
        </w:rPr>
        <w:t>______</w:t>
      </w:r>
    </w:p>
    <w:p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664"/>
      </w:tblGrid>
      <w:tr w:rsidR="006443A2">
        <w:tblPrEx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DISCIPLINAS: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ind w:firstLine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O Departamento de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da Unidade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faz público o processo de seleção para o Programa de Monitoria (A</w:t>
      </w:r>
      <w:r>
        <w:rPr>
          <w:rFonts w:ascii="Times New Roman" w:hAnsi="Times New Roman"/>
          <w:color w:val="000000"/>
          <w:sz w:val="20"/>
        </w:rPr>
        <w:t>no letivo</w:t>
      </w:r>
      <w:r>
        <w:rPr>
          <w:rFonts w:ascii="Times New Roman" w:hAnsi="Times New Roman"/>
          <w:b/>
          <w:color w:val="000000"/>
          <w:sz w:val="20"/>
        </w:rPr>
        <w:t>:__________)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da(s) disciplina(s) acima indicadas, para preenchimento de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vaga(s) para monitores bolsistas e de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vaga(s) para monitores voluntários, de acordo com as Resolução nº 123/2016 do Conselho Setorial de Graduação. 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NORMAS DO PROGRAMA 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Este Edital terá duração de um semestre letivo, podendo ser prorrogado por mais</w:t>
      </w:r>
      <w:r>
        <w:rPr>
          <w:rFonts w:ascii="Times New Roman" w:hAnsi="Times New Roman"/>
          <w:color w:val="000000"/>
        </w:rPr>
        <w:t xml:space="preserve"> um semestre letivo. </w:t>
      </w:r>
      <w:r>
        <w:rPr>
          <w:rFonts w:ascii="Times New Roman" w:hAnsi="Times New Roman"/>
          <w:b/>
          <w:color w:val="000000"/>
        </w:rPr>
        <w:t>A partir do momento em que for aberto novo Edital de Seleção, o anterior perderá a validade.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Conforme Resolução Nº 123/2016 no seu artigo 14, o regime de participação do monitor é de 6 (seis) ou 12 (doze) horas semanais de atividades, </w:t>
      </w:r>
      <w:r>
        <w:rPr>
          <w:rFonts w:ascii="Times New Roman" w:hAnsi="Times New Roman"/>
          <w:color w:val="000000"/>
        </w:rPr>
        <w:t>de acordo com o projeto. 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Conforme Resolução Nº 123/2016 no seu artigo 19 §1, o candidato que não for aprovado na disciplina ou no conjunto de disciplinas objeto do edital de Monitoria será automaticamente eliminado do processo seletivo.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lista de inscriç</w:t>
      </w:r>
      <w:r>
        <w:rPr>
          <w:rFonts w:ascii="Times New Roman" w:hAnsi="Times New Roman"/>
          <w:color w:val="000000"/>
        </w:rPr>
        <w:t xml:space="preserve">ão poderá ser </w:t>
      </w:r>
      <w:r>
        <w:rPr>
          <w:rFonts w:ascii="Times New Roman" w:hAnsi="Times New Roman"/>
          <w:i/>
          <w:color w:val="000000"/>
        </w:rPr>
        <w:t>online</w:t>
      </w:r>
      <w:r>
        <w:rPr>
          <w:rFonts w:ascii="Times New Roman" w:hAnsi="Times New Roman"/>
          <w:color w:val="000000"/>
        </w:rPr>
        <w:t>, desde que seja utilizada uma ferramenta que gere um relatório com os nomes de todos os inscritos.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Só poderão ser chamados os alunos que constam na lista de classificação. Após todos serem chamados, deverá ser aberto um novo Edital de </w:t>
      </w:r>
      <w:r>
        <w:rPr>
          <w:rFonts w:ascii="Times New Roman" w:hAnsi="Times New Roman"/>
          <w:color w:val="000000"/>
        </w:rPr>
        <w:t>Seleção para que se ocupe a vaga existente (bolsista ou voluntário).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Obrigatoriamente a ordem de classificação deverá ser seguida. Caso o aluno não tenha interesse pela vaga, deverá ser encaminhada uma declaração de desistência para que o próximo </w:t>
      </w:r>
      <w:r>
        <w:rPr>
          <w:rFonts w:ascii="Times New Roman" w:hAnsi="Times New Roman"/>
          <w:color w:val="000000"/>
        </w:rPr>
        <w:t>classificado a assuma.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Os processos que chegarem à Coordenação dos Programas de Graduação-PROGRAD com pendências serão devolvidos às unidades acadêmicas. Os bolsistas e voluntários somente serão incluídos no SIGA após a resolução das pendências.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O pagament</w:t>
      </w:r>
      <w:r>
        <w:rPr>
          <w:rFonts w:ascii="Times New Roman" w:hAnsi="Times New Roman"/>
          <w:color w:val="000000"/>
        </w:rPr>
        <w:t xml:space="preserve">o das bolsas de monitoria ocorrerá apenas nos meses coincidentes com os períodos de aula, conforme calendário acadêmico da Graduação, ou seja, </w:t>
      </w:r>
      <w:r>
        <w:rPr>
          <w:rFonts w:ascii="Times New Roman" w:hAnsi="Times New Roman"/>
          <w:b/>
          <w:color w:val="000000"/>
        </w:rPr>
        <w:t>não haverá pagamento de bolsas relativo ao período de férias. 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pagamento de cada mês será proporcional à frequê</w:t>
      </w:r>
      <w:r>
        <w:rPr>
          <w:rFonts w:ascii="Times New Roman" w:hAnsi="Times New Roman"/>
          <w:color w:val="000000"/>
        </w:rPr>
        <w:t>ncia apurada pelo professor orientador e é efetuado até o décimo dia útil do mês seguinte. É de responsabilidade do professor orientador informar o número de horas efetivamente trabalhado pelo monitor (24 horas para o regime de 6 horas semanais ou 48 horas</w:t>
      </w:r>
      <w:r>
        <w:rPr>
          <w:rFonts w:ascii="Times New Roman" w:hAnsi="Times New Roman"/>
          <w:color w:val="000000"/>
        </w:rPr>
        <w:t xml:space="preserve"> para o regime de 12 horas semanais, no caso de frequência integral).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recondução ocorre apenas uma vez. Se o bolsista ou voluntário começou no projeto pela primeira vez no início do ano letivo, poderá ser reconduzido automaticamente para mais um semestre</w:t>
      </w:r>
      <w:r>
        <w:rPr>
          <w:rFonts w:ascii="Times New Roman" w:hAnsi="Times New Roman"/>
          <w:color w:val="000000"/>
        </w:rPr>
        <w:t>, sendo dispensável o envio do termo de compromisso. </w:t>
      </w:r>
    </w:p>
    <w:p w:rsidR="006443A2" w:rsidRDefault="00F37C3F">
      <w:pPr>
        <w:pStyle w:val="Textbody"/>
        <w:spacing w:before="240" w:after="0" w:line="288" w:lineRule="auto"/>
        <w:ind w:left="851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Caso o bolsista ou voluntário comece a atuar no segundo semestre letivo, deverá ser encaminhado para a PROGRAD o termo de compromisso. Se o projeto do orientador for aprovado no Edital do ano seguinte, </w:t>
      </w:r>
      <w:r>
        <w:rPr>
          <w:rFonts w:ascii="Times New Roman" w:hAnsi="Times New Roman"/>
          <w:color w:val="000000"/>
        </w:rPr>
        <w:t xml:space="preserve">o monitor poderá ser reconduzido, assinalando-se a opção </w:t>
      </w:r>
      <w:r>
        <w:rPr>
          <w:rFonts w:ascii="Times New Roman" w:hAnsi="Times New Roman"/>
          <w:color w:val="000000"/>
          <w:u w:val="single"/>
        </w:rPr>
        <w:t>recondução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no Termo de Compromisso a ser enviado à PROGRAD.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INSCRIÇÃO</w:t>
      </w:r>
    </w:p>
    <w:p w:rsidR="006443A2" w:rsidRDefault="00F37C3F">
      <w:pPr>
        <w:pStyle w:val="Textbody"/>
        <w:spacing w:after="0" w:line="288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Poderão inscrever-se os candidatos que atenderem aos seguintes critérios: 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1 - Estar regularmente matriculado em Curso de </w:t>
      </w:r>
      <w:r>
        <w:rPr>
          <w:rFonts w:ascii="Times New Roman" w:hAnsi="Times New Roman"/>
          <w:color w:val="000000"/>
        </w:rPr>
        <w:t>Graduação;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2 - Ter disponibilidade de 06 horas ou 12 horas semanais, conforme estabelecido no Projeto e no Edital de Seleção; 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 – Estar aprovado ou cursando a disciplina* ou conjunto de disciplinas para as quais se pretende a participação no Programa.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O</w:t>
      </w:r>
      <w:r>
        <w:rPr>
          <w:rFonts w:ascii="Times New Roman" w:hAnsi="Times New Roman"/>
          <w:color w:val="000000"/>
        </w:rPr>
        <w:t xml:space="preserve"> candidato pode estar cursando a disciplina no momento da inscrição, mas deverá ter sido aprovado no momento de assumir a Monitoria.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 – Listar outros critérios</w:t>
      </w:r>
    </w:p>
    <w:p w:rsidR="006443A2" w:rsidRDefault="00F37C3F">
      <w:pPr>
        <w:pStyle w:val="Textbody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5 - Para inscrever-se, o aluno interessado deve: listar outros procedimentos para a inscrição, </w:t>
      </w:r>
      <w:r>
        <w:rPr>
          <w:rFonts w:ascii="Times New Roman" w:hAnsi="Times New Roman"/>
          <w:color w:val="000000"/>
        </w:rPr>
        <w:t>se for interesse do orientador.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PROCESSO DE SELEÇÃO </w:t>
      </w:r>
    </w:p>
    <w:p w:rsidR="006443A2" w:rsidRDefault="00F37C3F">
      <w:pPr>
        <w:pStyle w:val="Textbody"/>
        <w:spacing w:after="0" w:line="288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seleção constará de: </w:t>
      </w:r>
    </w:p>
    <w:p w:rsidR="006443A2" w:rsidRDefault="00F37C3F">
      <w:pPr>
        <w:pStyle w:val="Textbody"/>
        <w:spacing w:after="0" w:line="288" w:lineRule="auto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1- Prova de conhecimentos que verse sobre pontos do programa da(s) disciplina(s) objeto da monitoria, sendo eles: listar os tópicos - ementa(s) da(s) disciplina(s). </w:t>
      </w:r>
      <w:r>
        <w:rPr>
          <w:rFonts w:ascii="Times New Roman" w:hAnsi="Times New Roman"/>
          <w:b/>
          <w:color w:val="000000"/>
        </w:rPr>
        <w:t>Obs.: este in</w:t>
      </w:r>
      <w:r>
        <w:rPr>
          <w:rFonts w:ascii="Times New Roman" w:hAnsi="Times New Roman"/>
          <w:b/>
          <w:color w:val="000000"/>
        </w:rPr>
        <w:t>strumento de avaliação é obrigatório</w:t>
      </w:r>
      <w:r>
        <w:rPr>
          <w:rFonts w:ascii="Times New Roman" w:hAnsi="Times New Roman"/>
          <w:color w:val="000000"/>
        </w:rPr>
        <w:t>;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listar outros critérios para a seleção</w:t>
      </w:r>
    </w:p>
    <w:p w:rsidR="006443A2" w:rsidRDefault="00F37C3F">
      <w:pPr>
        <w:pStyle w:val="Textbody"/>
        <w:spacing w:after="0" w:line="288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Critério(s) de desempate: listar os critérios de desempate 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insira aqui outras informações, se necessário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RESUMO DE DATAS E PRAZOS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INSCRIÇÃO: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7544"/>
      </w:tblGrid>
      <w:tr w:rsidR="006443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PERÍODO: 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563"/>
      </w:tblGrid>
      <w:tr w:rsidR="006443A2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ENDEREÇO </w:t>
            </w:r>
            <w:r>
              <w:rPr>
                <w:rFonts w:ascii="Times New Roman" w:hAnsi="Times New Roman"/>
                <w:color w:val="000000"/>
              </w:rPr>
              <w:t>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SELEÇÃO: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7514"/>
      </w:tblGrid>
      <w:tr w:rsidR="006443A2">
        <w:tblPrEx>
          <w:tblCellMar>
            <w:top w:w="0" w:type="dxa"/>
            <w:bottom w:w="0" w:type="dxa"/>
          </w:tblCellMar>
        </w:tblPrEx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563"/>
      </w:tblGrid>
      <w:tr w:rsidR="006443A2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DIVULGAÇÃO DOS RESULTADOS DA SELEÇÃO: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7514"/>
      </w:tblGrid>
      <w:tr w:rsidR="006443A2">
        <w:tblPrEx>
          <w:tblCellMar>
            <w:top w:w="0" w:type="dxa"/>
            <w:bottom w:w="0" w:type="dxa"/>
          </w:tblCellMar>
        </w:tblPrEx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563"/>
      </w:tblGrid>
      <w:tr w:rsidR="006443A2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6443A2" w:rsidRDefault="00F37C3F">
      <w:pPr>
        <w:pStyle w:val="Textbody"/>
        <w:rPr>
          <w:rFonts w:hint="eastAsia"/>
        </w:rPr>
      </w:pPr>
      <w:r>
        <w:br/>
      </w:r>
      <w:r>
        <w:br/>
      </w:r>
      <w:r>
        <w:br/>
      </w:r>
      <w:r>
        <w:br/>
      </w:r>
    </w:p>
    <w:p w:rsidR="006443A2" w:rsidRDefault="00F37C3F">
      <w:pPr>
        <w:pStyle w:val="Textbody"/>
        <w:spacing w:after="0" w:line="288" w:lineRule="auto"/>
        <w:rPr>
          <w:rFonts w:hint="eastAsia"/>
        </w:rPr>
      </w:pPr>
      <w:r>
        <w:rPr>
          <w:rFonts w:ascii="Times New Roman" w:hAnsi="Times New Roman"/>
          <w:color w:val="000000"/>
          <w:u w:val="single"/>
        </w:rPr>
        <w:t>Juiz de Fora</w:t>
      </w:r>
      <w:r>
        <w:rPr>
          <w:rFonts w:ascii="Times New Roman" w:hAnsi="Times New Roman"/>
          <w:color w:val="000000"/>
        </w:rPr>
        <w:t xml:space="preserve">,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color w:val="000000"/>
          <w:u w:val="single"/>
        </w:rPr>
        <w:t>     </w:t>
      </w:r>
      <w:r>
        <w:rPr>
          <w:rFonts w:ascii="Times New Roman" w:hAnsi="Times New Roman"/>
          <w:color w:val="000000"/>
        </w:rPr>
        <w:t>.</w:t>
      </w:r>
    </w:p>
    <w:p w:rsidR="006443A2" w:rsidRDefault="00F37C3F">
      <w:pPr>
        <w:pStyle w:val="Textbody"/>
        <w:jc w:val="center"/>
        <w:rPr>
          <w:rFonts w:hint="eastAsia"/>
        </w:rPr>
      </w:pPr>
      <w:r>
        <w:br/>
      </w:r>
      <w:r>
        <w:br/>
      </w:r>
      <w:r>
        <w:br/>
      </w:r>
      <w:r>
        <w:br/>
      </w:r>
    </w:p>
    <w:p w:rsidR="006443A2" w:rsidRDefault="006443A2">
      <w:pPr>
        <w:pStyle w:val="Textbody"/>
        <w:jc w:val="center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6443A2">
        <w:tblPrEx>
          <w:tblCellMar>
            <w:top w:w="0" w:type="dxa"/>
            <w:bottom w:w="0" w:type="dxa"/>
          </w:tblCellMar>
        </w:tblPrEx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</w:t>
            </w:r>
          </w:p>
          <w:p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Chefe do Departamento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</w:t>
            </w:r>
          </w:p>
          <w:p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Professor Orientador</w:t>
            </w:r>
          </w:p>
        </w:tc>
      </w:tr>
    </w:tbl>
    <w:p w:rsidR="006443A2" w:rsidRDefault="006443A2">
      <w:pPr>
        <w:pStyle w:val="Standard"/>
        <w:rPr>
          <w:rFonts w:hint="eastAsia"/>
        </w:rPr>
      </w:pPr>
    </w:p>
    <w:sectPr w:rsidR="006443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3F" w:rsidRDefault="00F37C3F">
      <w:pPr>
        <w:rPr>
          <w:rFonts w:hint="eastAsia"/>
        </w:rPr>
      </w:pPr>
      <w:r>
        <w:separator/>
      </w:r>
    </w:p>
  </w:endnote>
  <w:endnote w:type="continuationSeparator" w:id="0">
    <w:p w:rsidR="00F37C3F" w:rsidRDefault="00F37C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3F" w:rsidRDefault="00F37C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37C3F" w:rsidRDefault="00F37C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0D2D"/>
    <w:multiLevelType w:val="multilevel"/>
    <w:tmpl w:val="5E44E0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43A2"/>
    <w:rsid w:val="006443A2"/>
    <w:rsid w:val="0092769E"/>
    <w:rsid w:val="00F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Pedro</dc:creator>
  <cp:lastModifiedBy>Cliente</cp:lastModifiedBy>
  <cp:revision>1</cp:revision>
  <dcterms:created xsi:type="dcterms:W3CDTF">2021-05-03T15:32:00Z</dcterms:created>
  <dcterms:modified xsi:type="dcterms:W3CDTF">2021-05-07T21:06:00Z</dcterms:modified>
</cp:coreProperties>
</file>