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A2" w:rsidRDefault="00F37C3F">
      <w:pPr>
        <w:pStyle w:val="Textbody"/>
        <w:spacing w:after="0" w:line="288" w:lineRule="auto"/>
        <w:jc w:val="right"/>
        <w:rPr>
          <w:rFonts w:ascii="Times New Roman" w:hAnsi="Times New Roman"/>
          <w:b/>
          <w:color w:val="000000"/>
          <w:sz w:val="20"/>
        </w:rPr>
      </w:pPr>
      <w:bookmarkStart w:id="0" w:name="docs-internal-guid-b64aaaaa-7fff-4012-1b"/>
      <w:bookmarkEnd w:id="0"/>
      <w:r>
        <w:rPr>
          <w:rFonts w:ascii="Times New Roman" w:hAnsi="Times New Roman"/>
          <w:b/>
          <w:color w:val="000000"/>
          <w:sz w:val="20"/>
        </w:rPr>
        <w:t>PCD 125.611</w:t>
      </w:r>
    </w:p>
    <w:p w:rsidR="006443A2" w:rsidRDefault="006443A2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9"/>
        <w:gridCol w:w="8089"/>
      </w:tblGrid>
      <w:tr w:rsidR="006443A2"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lang w:eastAsia="pt-BR" w:bidi="ar-SA"/>
              </w:rPr>
              <w:drawing>
                <wp:inline distT="0" distB="0" distL="0" distR="0">
                  <wp:extent cx="638280" cy="333360"/>
                  <wp:effectExtent l="0" t="0" r="9420" b="0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80" cy="3333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UNIVERSIDADE FEDERAL DE JUIZ DE FORA</w:t>
            </w:r>
          </w:p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PRÓ-REITORIA DE GRADUAÇÃO</w:t>
            </w:r>
          </w:p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COORDENAÇÃO DOS PROGRAMAS DE GRADUAÇÃO</w:t>
            </w:r>
          </w:p>
        </w:tc>
      </w:tr>
    </w:tbl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32"/>
        </w:rPr>
        <w:t>EDITAL DE SELEÇÃO DE MONITORIA GRADUAÇÃO /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40"/>
        </w:rPr>
        <w:t>______</w:t>
      </w:r>
    </w:p>
    <w:p w:rsidR="006443A2" w:rsidRDefault="006443A2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4"/>
        <w:gridCol w:w="7664"/>
      </w:tblGrid>
      <w:tr w:rsidR="006443A2">
        <w:tc>
          <w:tcPr>
            <w:tcW w:w="197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DISCIPLINAS: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    </w:t>
            </w:r>
            <w:r w:rsidR="00FD6C28">
              <w:rPr>
                <w:color w:val="000000"/>
              </w:rPr>
              <w:t xml:space="preserve"> VET019 Nutrição Animal </w:t>
            </w:r>
            <w:r>
              <w:rPr>
                <w:color w:val="000000"/>
              </w:rPr>
              <w:t> </w:t>
            </w:r>
          </w:p>
        </w:tc>
      </w:tr>
    </w:tbl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ind w:firstLine="7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O Departamento de </w:t>
      </w:r>
      <w:r w:rsidR="00FD6C28" w:rsidRPr="00FD6C28">
        <w:rPr>
          <w:rFonts w:ascii="Times New Roman" w:hAnsi="Times New Roman"/>
          <w:b/>
          <w:bCs/>
          <w:color w:val="000000"/>
        </w:rPr>
        <w:t>Medicina Veterinária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da Unidade </w:t>
      </w:r>
      <w:r w:rsidR="00FD6C28" w:rsidRPr="00FD6C28">
        <w:rPr>
          <w:rFonts w:ascii="Times New Roman" w:hAnsi="Times New Roman"/>
          <w:b/>
          <w:bCs/>
          <w:color w:val="000000"/>
        </w:rPr>
        <w:t>Faculdade de Medicina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faz público o processo de seleção para o Programa de Monitoria (A</w:t>
      </w:r>
      <w:r>
        <w:rPr>
          <w:rFonts w:ascii="Times New Roman" w:hAnsi="Times New Roman"/>
          <w:color w:val="000000"/>
          <w:sz w:val="20"/>
        </w:rPr>
        <w:t>no letivo</w:t>
      </w:r>
      <w:r>
        <w:rPr>
          <w:rFonts w:ascii="Times New Roman" w:hAnsi="Times New Roman"/>
          <w:b/>
          <w:color w:val="000000"/>
          <w:sz w:val="20"/>
        </w:rPr>
        <w:t>:</w:t>
      </w:r>
      <w:r w:rsidR="00FD6C28">
        <w:rPr>
          <w:rFonts w:ascii="Times New Roman" w:hAnsi="Times New Roman"/>
          <w:b/>
          <w:color w:val="000000"/>
          <w:sz w:val="20"/>
        </w:rPr>
        <w:t xml:space="preserve"> 2022</w:t>
      </w:r>
      <w:r>
        <w:rPr>
          <w:rFonts w:ascii="Times New Roman" w:hAnsi="Times New Roman"/>
          <w:b/>
          <w:color w:val="000000"/>
          <w:sz w:val="20"/>
        </w:rPr>
        <w:t>)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da(s) disciplina(s) acima indicadas, para preenchimento de </w:t>
      </w:r>
      <w:r w:rsidR="00FD6C28" w:rsidRPr="00FD6C28">
        <w:rPr>
          <w:rFonts w:ascii="Times New Roman" w:hAnsi="Times New Roman"/>
          <w:b/>
          <w:bCs/>
          <w:color w:val="000000"/>
        </w:rPr>
        <w:t>1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vaga(s) para monitores bolsistas e de </w:t>
      </w:r>
      <w:r w:rsidR="00FD6C28" w:rsidRPr="00FD6C28">
        <w:rPr>
          <w:rFonts w:ascii="Times New Roman" w:hAnsi="Times New Roman"/>
          <w:b/>
          <w:bCs/>
          <w:color w:val="000000"/>
        </w:rPr>
        <w:t>1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vaga(s) para monitores voluntários, de acordo com as Resolução nº 123/2016 do Conselho Setorial de Graduação. </w:t>
      </w:r>
    </w:p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NORMAS DO PROGRAMA 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Este Edital terá duração de um semestre letivo, podendo ser prorrogado por mais um semestre letivo. </w:t>
      </w:r>
      <w:r>
        <w:rPr>
          <w:rFonts w:ascii="Times New Roman" w:hAnsi="Times New Roman"/>
          <w:b/>
          <w:color w:val="000000"/>
        </w:rPr>
        <w:t>A partir do momento em que for aberto novo Edital de Seleção, o anterior perderá a validade.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Conforme Resolução Nº 123/2016 no seu artigo 14, o regime de participação do monitor é de 6 (seis) ou 12 (doze) horas semanais de atividades, de acordo com o projeto. 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Conforme Resolução Nº 123/2016 no seu artigo 19 §1, o candidato que não for aprovado na disciplina ou no conjunto de disciplinas objeto do edital de Monitoria será automaticamente eliminado do processo seletivo.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lista de inscrição poderá ser </w:t>
      </w:r>
      <w:r>
        <w:rPr>
          <w:rFonts w:ascii="Times New Roman" w:hAnsi="Times New Roman"/>
          <w:i/>
          <w:color w:val="000000"/>
        </w:rPr>
        <w:t>online</w:t>
      </w:r>
      <w:r>
        <w:rPr>
          <w:rFonts w:ascii="Times New Roman" w:hAnsi="Times New Roman"/>
          <w:color w:val="000000"/>
        </w:rPr>
        <w:t>, desde que seja utilizada uma ferramenta que gere um relatório com os nomes de todos os inscritos.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Só poderão ser chamados os alunos que constam na lista de classificação. Após todos serem chamados, deverá ser aberto um novo Edital de Seleção para que se ocupe a vaga existente (bolsista ou voluntário).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Obrigatoriamente a ordem de classificação deverá ser seguida. Caso o aluno não tenha interesse pela vaga, deverá ser encaminhada uma declaração de desistência para que o próximo classificado a assuma.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Os processos que chegarem à Coordenação dos Programas de Graduação-PROGRAD com pendências serão devolvidos às unidades acadêmicas. Os bolsistas e voluntários somente serão incluídos no SIGA após a resolução das pendências.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O pagamento das bolsas de monitoria ocorrerá apenas nos meses coincidentes com os períodos de aula, conforme calendário acadêmico da Graduação, ou seja, </w:t>
      </w:r>
      <w:r>
        <w:rPr>
          <w:rFonts w:ascii="Times New Roman" w:hAnsi="Times New Roman"/>
          <w:b/>
          <w:color w:val="000000"/>
        </w:rPr>
        <w:t>não haverá pagamento de bolsas relativo ao período de férias. 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pagamento de cada mês será proporcional à frequência apurada pelo professor orientador e é efetuado até o décimo dia útil do mês seguinte. É de responsabilidade do professor orientador informar o número de horas efetivamente trabalhado pelo monitor (24 horas para o regime de 6 horas semanais ou 48 horas para o regime de 12 horas semanais, no caso de frequência integral).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recondução ocorre apenas uma vez. Se o bolsista ou voluntário começou no projeto pela primeira vez no início do ano letivo, poderá ser reconduzido automaticamente para mais um semestre, sendo dispensável o envio do termo de compromisso. </w:t>
      </w:r>
    </w:p>
    <w:p w:rsidR="006443A2" w:rsidRDefault="00F37C3F">
      <w:pPr>
        <w:pStyle w:val="Textbody"/>
        <w:spacing w:before="240" w:after="0" w:line="288" w:lineRule="auto"/>
        <w:ind w:left="851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Caso o bolsista ou voluntário comece a atuar no segundo semestre letivo, deverá ser encaminhado para a PROGRAD o termo de compromisso. Se o projeto do orientador for aprovado no Edital do ano seguinte, o monitor poderá ser reconduzido, assinalando-se a opção </w:t>
      </w:r>
      <w:r>
        <w:rPr>
          <w:rFonts w:ascii="Times New Roman" w:hAnsi="Times New Roman"/>
          <w:color w:val="000000"/>
          <w:u w:val="single"/>
        </w:rPr>
        <w:t>recondução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no Termo de Compromisso a ser enviado à PROGRAD.</w:t>
      </w:r>
    </w:p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INSCRIÇÃO</w:t>
      </w:r>
    </w:p>
    <w:p w:rsidR="006443A2" w:rsidRDefault="00F37C3F">
      <w:pPr>
        <w:pStyle w:val="Textbody"/>
        <w:spacing w:after="0" w:line="288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Poderão inscrever-se os candidatos que atenderem aos seguintes critérios: </w:t>
      </w: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1 - Estar regularmente matriculado em Curso de Graduação;</w:t>
      </w: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2 - Ter disponibilidade de 06 horas semanais, conforme estabelecido no Projeto e no Edital de Seleção; </w:t>
      </w: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 – Estar aprovado ou cursando a disciplina* ou conjunto de disciplinas para as quais se pretende a participação no Programa.</w:t>
      </w: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O candidato pode estar cursando a disciplina no momento da inscrição, mas deverá ter sido aprovado no momento de assumir a Monitoria.</w:t>
      </w: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 – Listar outros critérios</w:t>
      </w:r>
    </w:p>
    <w:p w:rsidR="006443A2" w:rsidRDefault="00F37C3F" w:rsidP="001D1879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5 - Para inscrever-se, o aluno interessado deve</w:t>
      </w:r>
      <w:r w:rsidR="00FD6C28">
        <w:rPr>
          <w:rFonts w:ascii="Times New Roman" w:hAnsi="Times New Roman"/>
          <w:color w:val="000000"/>
        </w:rPr>
        <w:t xml:space="preserve"> </w:t>
      </w:r>
      <w:r w:rsidR="00FD6C28">
        <w:t xml:space="preserve">preencher a ficha de inscrição através do link: </w:t>
      </w:r>
      <w:r w:rsidR="001D1879" w:rsidRPr="001D1879">
        <w:rPr>
          <w:rFonts w:hint="eastAsia"/>
          <w:color w:val="000000"/>
        </w:rPr>
        <w:t>https://docs.google.com/forms/d/e/1FAIpQLScozW27NJrFHV3wwTJSamxPheJWfI1PPtSKbBPArHOyQ77FJg/viewform?usp=pp_url</w:t>
      </w:r>
    </w:p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PROCESSO DE SELEÇÃO </w:t>
      </w:r>
    </w:p>
    <w:p w:rsidR="006443A2" w:rsidRDefault="00F37C3F">
      <w:pPr>
        <w:pStyle w:val="Textbody"/>
        <w:spacing w:after="0" w:line="288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seleção constará de: </w:t>
      </w:r>
    </w:p>
    <w:p w:rsidR="00FD6C28" w:rsidRDefault="00FD6C28" w:rsidP="00FD6C28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1- Prova de conhecimentos que verse sobre pontos do programa da(s) disciplina(s) objeto da monitoria, sendo eles (60 pontos): </w:t>
      </w:r>
    </w:p>
    <w:p w:rsidR="00FD6C28" w:rsidRDefault="00FD6C28" w:rsidP="00FD6C28">
      <w:pPr>
        <w:widowControl w:val="0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714" w:hanging="357"/>
        <w:textAlignment w:val="auto"/>
        <w:rPr>
          <w:rFonts w:hint="eastAsia"/>
          <w:color w:val="000000"/>
        </w:rPr>
      </w:pPr>
      <w:r>
        <w:rPr>
          <w:color w:val="000000"/>
        </w:rPr>
        <w:t>Composição química e bromatológica dos alimentos;</w:t>
      </w:r>
    </w:p>
    <w:p w:rsidR="00FD6C28" w:rsidRDefault="00FD6C28" w:rsidP="00FD6C28">
      <w:pPr>
        <w:widowControl w:val="0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714" w:hanging="357"/>
        <w:textAlignment w:val="auto"/>
        <w:rPr>
          <w:rFonts w:hint="eastAsia"/>
          <w:color w:val="000000"/>
        </w:rPr>
      </w:pPr>
      <w:r>
        <w:rPr>
          <w:color w:val="000000"/>
        </w:rPr>
        <w:t>Classificação dos alimentos (volumosos, concentrados energéticos, concentrados proteicos, suplemento mineral, suplemento vitamínico e aditivos);</w:t>
      </w:r>
    </w:p>
    <w:p w:rsidR="00FD6C28" w:rsidRDefault="00FD6C28" w:rsidP="00FD6C28">
      <w:pPr>
        <w:widowControl w:val="0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714" w:hanging="357"/>
        <w:textAlignment w:val="auto"/>
        <w:rPr>
          <w:rFonts w:hint="eastAsia"/>
          <w:color w:val="000000"/>
        </w:rPr>
      </w:pPr>
      <w:r>
        <w:rPr>
          <w:color w:val="000000"/>
        </w:rPr>
        <w:t>Classificação dos animais domésticos;</w:t>
      </w:r>
    </w:p>
    <w:p w:rsidR="00FD6C28" w:rsidRDefault="00FD6C28" w:rsidP="00FD6C28">
      <w:pPr>
        <w:widowControl w:val="0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714" w:hanging="357"/>
        <w:textAlignment w:val="auto"/>
        <w:rPr>
          <w:rFonts w:hint="eastAsia"/>
          <w:color w:val="000000"/>
        </w:rPr>
      </w:pPr>
      <w:r>
        <w:rPr>
          <w:color w:val="000000"/>
        </w:rPr>
        <w:t>Digestão e metabolismo de carboidratos em não ruminantes;</w:t>
      </w:r>
    </w:p>
    <w:p w:rsidR="00FD6C28" w:rsidRDefault="00FD6C28" w:rsidP="00FD6C28">
      <w:pPr>
        <w:widowControl w:val="0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714" w:hanging="357"/>
        <w:textAlignment w:val="auto"/>
        <w:rPr>
          <w:rFonts w:hint="eastAsia"/>
          <w:color w:val="000000"/>
        </w:rPr>
      </w:pPr>
      <w:r>
        <w:rPr>
          <w:color w:val="000000"/>
        </w:rPr>
        <w:t>Digestão e metabolismo de carboidratos em ruminantes;</w:t>
      </w:r>
    </w:p>
    <w:p w:rsidR="00FD6C28" w:rsidRDefault="00FD6C28" w:rsidP="00FD6C28">
      <w:pPr>
        <w:widowControl w:val="0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714" w:hanging="357"/>
        <w:textAlignment w:val="auto"/>
        <w:rPr>
          <w:rFonts w:hint="eastAsia"/>
          <w:color w:val="000000"/>
        </w:rPr>
      </w:pPr>
      <w:r>
        <w:rPr>
          <w:color w:val="000000"/>
        </w:rPr>
        <w:lastRenderedPageBreak/>
        <w:t>Digestão e metabolismo de proteínas em não ruminantes;</w:t>
      </w:r>
    </w:p>
    <w:p w:rsidR="00FD6C28" w:rsidRDefault="00FD6C28" w:rsidP="00FD6C28">
      <w:pPr>
        <w:widowControl w:val="0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714" w:hanging="357"/>
        <w:textAlignment w:val="auto"/>
        <w:rPr>
          <w:rFonts w:hint="eastAsia"/>
          <w:color w:val="000000"/>
        </w:rPr>
      </w:pPr>
      <w:r>
        <w:rPr>
          <w:color w:val="000000"/>
        </w:rPr>
        <w:t>Digestão e metabolismo de proteínas em ruminantes;</w:t>
      </w:r>
    </w:p>
    <w:p w:rsidR="00FD6C28" w:rsidRDefault="00FD6C28" w:rsidP="00FD6C28">
      <w:pPr>
        <w:widowControl w:val="0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714" w:hanging="357"/>
        <w:textAlignment w:val="auto"/>
        <w:rPr>
          <w:rFonts w:hint="eastAsia"/>
          <w:color w:val="000000"/>
        </w:rPr>
      </w:pPr>
      <w:r>
        <w:rPr>
          <w:color w:val="000000"/>
        </w:rPr>
        <w:t>Digestão e metabolismo de lipídeos em não ruminantes;</w:t>
      </w:r>
    </w:p>
    <w:p w:rsidR="00FD6C28" w:rsidRDefault="00FD6C28" w:rsidP="00FD6C28">
      <w:pPr>
        <w:widowControl w:val="0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714" w:hanging="357"/>
        <w:textAlignment w:val="auto"/>
        <w:rPr>
          <w:rFonts w:hint="eastAsia"/>
          <w:color w:val="000000"/>
        </w:rPr>
      </w:pPr>
      <w:r>
        <w:rPr>
          <w:color w:val="000000"/>
        </w:rPr>
        <w:t>Digestão e metabolismo de lipídeos em ruminantes;</w:t>
      </w:r>
    </w:p>
    <w:p w:rsidR="00FD6C28" w:rsidRDefault="00FD6C28" w:rsidP="00FD6C28">
      <w:pPr>
        <w:widowControl w:val="0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714" w:hanging="357"/>
        <w:textAlignment w:val="auto"/>
        <w:rPr>
          <w:rFonts w:hint="eastAsia"/>
          <w:color w:val="000000"/>
        </w:rPr>
      </w:pPr>
      <w:r>
        <w:rPr>
          <w:color w:val="000000"/>
        </w:rPr>
        <w:t>Cálculo de ração – Quadrado de Pearson (Cálculo Completo).</w:t>
      </w:r>
    </w:p>
    <w:p w:rsidR="00FD6C28" w:rsidRDefault="00FD6C28" w:rsidP="00FD6C28">
      <w:pPr>
        <w:widowControl w:val="0"/>
        <w:suppressAutoHyphens w:val="0"/>
        <w:autoSpaceDE w:val="0"/>
        <w:adjustRightInd w:val="0"/>
        <w:spacing w:line="360" w:lineRule="auto"/>
        <w:textAlignment w:val="auto"/>
        <w:rPr>
          <w:rFonts w:hint="eastAsia"/>
          <w:color w:val="000000"/>
        </w:rPr>
      </w:pPr>
    </w:p>
    <w:p w:rsidR="00FD6C28" w:rsidRDefault="00FD6C28" w:rsidP="00FD6C28">
      <w:pPr>
        <w:widowControl w:val="0"/>
        <w:suppressAutoHyphens w:val="0"/>
        <w:autoSpaceDE w:val="0"/>
        <w:adjustRightInd w:val="0"/>
        <w:spacing w:line="360" w:lineRule="auto"/>
        <w:ind w:firstLine="357"/>
        <w:textAlignment w:val="auto"/>
        <w:rPr>
          <w:rFonts w:hint="eastAsia"/>
          <w:color w:val="000000"/>
        </w:rPr>
      </w:pPr>
      <w:r>
        <w:rPr>
          <w:color w:val="000000"/>
        </w:rPr>
        <w:t xml:space="preserve">A prova </w:t>
      </w:r>
      <w:r w:rsidR="00A53608">
        <w:rPr>
          <w:rFonts w:hint="eastAsia"/>
          <w:color w:val="000000"/>
        </w:rPr>
        <w:t>de conhecimentos</w:t>
      </w:r>
      <w:r>
        <w:rPr>
          <w:color w:val="000000"/>
        </w:rPr>
        <w:t xml:space="preserve"> tem caráter eliminatório e classificatório, para passar para próxima etapa o aluno deverá obter nota igual ou maior a 36 pontos.</w:t>
      </w:r>
    </w:p>
    <w:p w:rsidR="00FD6C28" w:rsidRDefault="00FD6C28" w:rsidP="00FD6C28">
      <w:pPr>
        <w:widowControl w:val="0"/>
        <w:autoSpaceDE w:val="0"/>
        <w:adjustRightInd w:val="0"/>
        <w:spacing w:line="360" w:lineRule="auto"/>
        <w:rPr>
          <w:rFonts w:hint="eastAsia"/>
          <w:color w:val="000000"/>
        </w:rPr>
      </w:pPr>
    </w:p>
    <w:p w:rsidR="00FD6C28" w:rsidRDefault="00FD6C28" w:rsidP="00FD6C28">
      <w:pPr>
        <w:widowControl w:val="0"/>
        <w:autoSpaceDE w:val="0"/>
        <w:adjustRightInd w:val="0"/>
        <w:spacing w:line="360" w:lineRule="auto"/>
        <w:rPr>
          <w:rFonts w:hint="eastAsia"/>
          <w:color w:val="000000"/>
        </w:rPr>
      </w:pPr>
      <w:r>
        <w:rPr>
          <w:color w:val="000000"/>
        </w:rPr>
        <w:t>2- Entrevista (10 pontos);</w:t>
      </w:r>
    </w:p>
    <w:p w:rsidR="00FD6C28" w:rsidRDefault="00FD6C28" w:rsidP="00FD6C28">
      <w:pPr>
        <w:widowControl w:val="0"/>
        <w:autoSpaceDE w:val="0"/>
        <w:adjustRightInd w:val="0"/>
        <w:spacing w:line="360" w:lineRule="auto"/>
        <w:rPr>
          <w:rFonts w:hint="eastAsia"/>
          <w:color w:val="000000"/>
        </w:rPr>
      </w:pPr>
      <w:r>
        <w:rPr>
          <w:color w:val="000000"/>
        </w:rPr>
        <w:t>3- Nota na disciplina Nutrição Animal VET 019 (15 pontos);</w:t>
      </w:r>
    </w:p>
    <w:p w:rsidR="00FD6C28" w:rsidRDefault="00FD6C28" w:rsidP="00FD6C28">
      <w:pPr>
        <w:widowControl w:val="0"/>
        <w:autoSpaceDE w:val="0"/>
        <w:adjustRightInd w:val="0"/>
        <w:spacing w:line="360" w:lineRule="auto"/>
        <w:rPr>
          <w:rFonts w:hint="eastAsia"/>
          <w:color w:val="000000"/>
        </w:rPr>
      </w:pPr>
      <w:r>
        <w:rPr>
          <w:color w:val="000000"/>
        </w:rPr>
        <w:t>4- Nota no IRA (15 pontos).</w:t>
      </w:r>
    </w:p>
    <w:p w:rsidR="00FD6C28" w:rsidRDefault="00FD6C28" w:rsidP="00FD6C28">
      <w:pPr>
        <w:widowControl w:val="0"/>
        <w:autoSpaceDE w:val="0"/>
        <w:adjustRightInd w:val="0"/>
        <w:ind w:firstLine="720"/>
        <w:rPr>
          <w:rFonts w:hint="eastAsia"/>
          <w:bCs/>
          <w:color w:val="000000"/>
        </w:rPr>
      </w:pPr>
    </w:p>
    <w:p w:rsidR="00FD6C28" w:rsidRDefault="00FD6C28" w:rsidP="00FD6C28">
      <w:pPr>
        <w:widowControl w:val="0"/>
        <w:autoSpaceDE w:val="0"/>
        <w:adjustRightInd w:val="0"/>
        <w:ind w:firstLine="720"/>
        <w:rPr>
          <w:rFonts w:hint="eastAsia"/>
          <w:color w:val="000000"/>
        </w:rPr>
      </w:pPr>
      <w:r>
        <w:rPr>
          <w:bCs/>
          <w:color w:val="000000"/>
        </w:rPr>
        <w:t>Critério(s) de desempate</w:t>
      </w:r>
      <w:r w:rsidRPr="0040582D">
        <w:rPr>
          <w:color w:val="000000"/>
        </w:rPr>
        <w:t>:</w:t>
      </w:r>
      <w:r>
        <w:rPr>
          <w:color w:val="000000"/>
        </w:rPr>
        <w:t xml:space="preserve"> </w:t>
      </w:r>
    </w:p>
    <w:p w:rsidR="00FD6C28" w:rsidRDefault="00FD6C28" w:rsidP="00FD6C28">
      <w:pPr>
        <w:widowControl w:val="0"/>
        <w:autoSpaceDE w:val="0"/>
        <w:adjustRightInd w:val="0"/>
        <w:ind w:firstLine="720"/>
        <w:rPr>
          <w:rFonts w:hint="eastAsia"/>
          <w:color w:val="000000"/>
        </w:rPr>
      </w:pPr>
    </w:p>
    <w:p w:rsidR="00FD6C28" w:rsidRDefault="00FD6C28" w:rsidP="00FD6C28">
      <w:pPr>
        <w:widowControl w:val="0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hint="eastAsia"/>
          <w:color w:val="000000"/>
        </w:rPr>
      </w:pPr>
      <w:r>
        <w:rPr>
          <w:color w:val="000000"/>
        </w:rPr>
        <w:t>Maior nota na prova escrita;</w:t>
      </w:r>
    </w:p>
    <w:p w:rsidR="00FD6C28" w:rsidRDefault="00FD6C28" w:rsidP="00FD6C28">
      <w:pPr>
        <w:widowControl w:val="0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hint="eastAsia"/>
          <w:color w:val="000000"/>
        </w:rPr>
      </w:pPr>
      <w:r>
        <w:rPr>
          <w:color w:val="000000"/>
        </w:rPr>
        <w:t>Maior nota na disciplina Nutrição Animal VET 019/519;</w:t>
      </w:r>
    </w:p>
    <w:p w:rsidR="00FD6C28" w:rsidRDefault="00FD6C28" w:rsidP="00FD6C28">
      <w:pPr>
        <w:widowControl w:val="0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hint="eastAsia"/>
          <w:color w:val="000000"/>
        </w:rPr>
      </w:pPr>
      <w:r>
        <w:rPr>
          <w:color w:val="000000"/>
        </w:rPr>
        <w:t>Maior nota no IRA.</w:t>
      </w:r>
    </w:p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RESUMO DE DATAS E PRAZOS</w:t>
      </w:r>
    </w:p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INSCRIÇÃO: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4"/>
        <w:gridCol w:w="7544"/>
      </w:tblGrid>
      <w:tr w:rsidR="006443A2">
        <w:tc>
          <w:tcPr>
            <w:tcW w:w="209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PERÍODO: 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1D1879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03/06/2022 a 0</w:t>
            </w:r>
            <w:r w:rsidR="003B24C0">
              <w:rPr>
                <w:color w:val="000000"/>
              </w:rPr>
              <w:t>7</w:t>
            </w:r>
            <w:r>
              <w:rPr>
                <w:color w:val="000000"/>
              </w:rPr>
              <w:t>/06/2022</w:t>
            </w:r>
          </w:p>
        </w:tc>
      </w:tr>
    </w:tbl>
    <w:p w:rsidR="006443A2" w:rsidRDefault="006443A2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5"/>
        <w:gridCol w:w="7563"/>
      </w:tblGrid>
      <w:tr w:rsidR="006443A2">
        <w:tc>
          <w:tcPr>
            <w:tcW w:w="207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ENDEREÇO ELETRÔNICO: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3B24C0" w:rsidP="003B24C0">
            <w:pPr>
              <w:pStyle w:val="Textbody"/>
              <w:spacing w:after="0" w:line="288" w:lineRule="auto"/>
              <w:rPr>
                <w:rFonts w:hint="eastAsia"/>
                <w:color w:val="000000"/>
              </w:rPr>
            </w:pPr>
            <w:r w:rsidRPr="001D1879">
              <w:rPr>
                <w:rFonts w:hint="eastAsia"/>
                <w:color w:val="000000"/>
              </w:rPr>
              <w:t>https://docs.google.com/forms/d/e/1FAIpQLScozW27NJrFHV3wwTJSamxPheJWfI1PPtSKbBPArHOyQ77FJg/viewform?usp=pp_url</w:t>
            </w:r>
          </w:p>
        </w:tc>
      </w:tr>
    </w:tbl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SELEÇÃO:</w:t>
      </w:r>
    </w:p>
    <w:p w:rsidR="00A53608" w:rsidRDefault="00A53608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</w:p>
    <w:p w:rsidR="00A53608" w:rsidRDefault="00A53608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PROVA DE CONHECIMENTOS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7514"/>
      </w:tblGrid>
      <w:tr w:rsidR="006443A2">
        <w:tc>
          <w:tcPr>
            <w:tcW w:w="212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DATA/HORÁRIO: 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1D1879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</w:t>
            </w:r>
            <w:r w:rsidR="003B24C0">
              <w:rPr>
                <w:color w:val="000000"/>
              </w:rPr>
              <w:t>8</w:t>
            </w:r>
            <w:r>
              <w:rPr>
                <w:color w:val="000000"/>
              </w:rPr>
              <w:t>/06/2022 – 16 horas   </w:t>
            </w:r>
          </w:p>
        </w:tc>
      </w:tr>
    </w:tbl>
    <w:p w:rsidR="006443A2" w:rsidRDefault="006443A2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5"/>
        <w:gridCol w:w="7563"/>
      </w:tblGrid>
      <w:tr w:rsidR="006443A2">
        <w:tc>
          <w:tcPr>
            <w:tcW w:w="207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ENDEREÇO: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3B24C0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Prédio da Medicina Veterinária na Espírito Santo</w:t>
            </w:r>
          </w:p>
        </w:tc>
      </w:tr>
    </w:tbl>
    <w:p w:rsidR="00A53608" w:rsidRDefault="00A53608" w:rsidP="00A53608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</w:p>
    <w:p w:rsidR="00A53608" w:rsidRDefault="00A53608" w:rsidP="00A53608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ENTREVISTA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7514"/>
      </w:tblGrid>
      <w:tr w:rsidR="00A53608" w:rsidTr="00D8346D">
        <w:tc>
          <w:tcPr>
            <w:tcW w:w="212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53608" w:rsidRDefault="00A53608" w:rsidP="00D8346D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DATA/HORÁRIO: 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53608" w:rsidRDefault="003B24C0" w:rsidP="00D8346D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08</w:t>
            </w:r>
            <w:r w:rsidR="001D1879">
              <w:rPr>
                <w:color w:val="000000"/>
              </w:rPr>
              <w:t>/06/2022 – 1</w:t>
            </w:r>
            <w:r>
              <w:rPr>
                <w:color w:val="000000"/>
              </w:rPr>
              <w:t>8</w:t>
            </w:r>
            <w:r w:rsidR="001D1879">
              <w:rPr>
                <w:color w:val="000000"/>
              </w:rPr>
              <w:t xml:space="preserve"> horas   </w:t>
            </w:r>
          </w:p>
        </w:tc>
      </w:tr>
    </w:tbl>
    <w:p w:rsidR="00A53608" w:rsidRDefault="00A53608" w:rsidP="00A53608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5"/>
        <w:gridCol w:w="7563"/>
      </w:tblGrid>
      <w:tr w:rsidR="00A53608" w:rsidTr="00D8346D">
        <w:tc>
          <w:tcPr>
            <w:tcW w:w="207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53608" w:rsidRDefault="00A53608" w:rsidP="00D8346D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ENDEREÇO: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53608" w:rsidRDefault="003B24C0" w:rsidP="00D8346D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Prédio da Medicina Veterinária na Espírito Santo</w:t>
            </w:r>
          </w:p>
        </w:tc>
      </w:tr>
    </w:tbl>
    <w:p w:rsidR="006443A2" w:rsidRDefault="006443A2">
      <w:pPr>
        <w:pStyle w:val="Textbody"/>
        <w:rPr>
          <w:rFonts w:hint="eastAsia"/>
        </w:rPr>
      </w:pP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DIVULGAÇÃO DOS RESULTADOS DA SELEÇÃO: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7514"/>
      </w:tblGrid>
      <w:tr w:rsidR="006443A2">
        <w:tc>
          <w:tcPr>
            <w:tcW w:w="212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DATA/HORÁRIO: 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3B24C0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09</w:t>
            </w:r>
            <w:r w:rsidR="001D1879">
              <w:rPr>
                <w:color w:val="000000"/>
              </w:rPr>
              <w:t xml:space="preserve">/06/2022 – </w:t>
            </w:r>
            <w:r>
              <w:rPr>
                <w:color w:val="000000"/>
              </w:rPr>
              <w:t>13</w:t>
            </w:r>
            <w:r w:rsidR="001D1879">
              <w:rPr>
                <w:color w:val="000000"/>
              </w:rPr>
              <w:t>:00 horas  </w:t>
            </w:r>
          </w:p>
        </w:tc>
      </w:tr>
    </w:tbl>
    <w:p w:rsidR="006443A2" w:rsidRDefault="006443A2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5"/>
        <w:gridCol w:w="7563"/>
      </w:tblGrid>
      <w:tr w:rsidR="006443A2">
        <w:tc>
          <w:tcPr>
            <w:tcW w:w="207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ENDEREÇO ELETRÔNICO: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C44C3F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t>O resultado será enviado para a lista de e-mails gerada durante o processo de inscrição</w:t>
            </w:r>
            <w:r>
              <w:rPr>
                <w:color w:val="000000"/>
              </w:rPr>
              <w:t>.</w:t>
            </w:r>
            <w:r w:rsidR="00F37C3F">
              <w:rPr>
                <w:color w:val="000000"/>
              </w:rPr>
              <w:t>  </w:t>
            </w:r>
          </w:p>
        </w:tc>
      </w:tr>
    </w:tbl>
    <w:p w:rsidR="006443A2" w:rsidRDefault="00F37C3F">
      <w:pPr>
        <w:pStyle w:val="Textbody"/>
        <w:rPr>
          <w:rFonts w:hint="eastAsia"/>
        </w:rPr>
      </w:pPr>
      <w:r>
        <w:br/>
      </w:r>
      <w:r>
        <w:br/>
      </w:r>
      <w:r>
        <w:br/>
      </w:r>
      <w:r>
        <w:br/>
      </w:r>
    </w:p>
    <w:p w:rsidR="006443A2" w:rsidRDefault="00F37C3F">
      <w:pPr>
        <w:pStyle w:val="Textbody"/>
        <w:spacing w:after="0" w:line="288" w:lineRule="auto"/>
        <w:rPr>
          <w:rFonts w:hint="eastAsia"/>
        </w:rPr>
      </w:pPr>
      <w:r>
        <w:rPr>
          <w:rFonts w:ascii="Times New Roman" w:hAnsi="Times New Roman"/>
          <w:color w:val="000000"/>
          <w:u w:val="single"/>
        </w:rPr>
        <w:t>Juiz de Fora</w:t>
      </w:r>
      <w:r>
        <w:rPr>
          <w:rFonts w:ascii="Times New Roman" w:hAnsi="Times New Roman"/>
          <w:color w:val="000000"/>
        </w:rPr>
        <w:t xml:space="preserve">, </w:t>
      </w:r>
      <w:r w:rsidR="001D1879">
        <w:rPr>
          <w:color w:val="000000"/>
          <w:u w:val="single"/>
        </w:rPr>
        <w:t>02</w:t>
      </w:r>
      <w:r w:rsidR="00C44C3F">
        <w:rPr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</w:rPr>
        <w:t xml:space="preserve">de </w:t>
      </w:r>
      <w:r w:rsidR="001D1879">
        <w:rPr>
          <w:rFonts w:ascii="Times New Roman" w:hAnsi="Times New Roman"/>
          <w:color w:val="000000"/>
        </w:rPr>
        <w:t>junho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de</w:t>
      </w:r>
      <w:r w:rsidR="00C44C3F">
        <w:rPr>
          <w:rFonts w:ascii="Times New Roman" w:hAnsi="Times New Roman"/>
          <w:color w:val="000000"/>
        </w:rPr>
        <w:t xml:space="preserve"> 2022</w:t>
      </w:r>
      <w:r>
        <w:rPr>
          <w:rFonts w:ascii="Times New Roman" w:hAnsi="Times New Roman"/>
          <w:color w:val="000000"/>
        </w:rPr>
        <w:t>.</w:t>
      </w:r>
    </w:p>
    <w:p w:rsidR="006443A2" w:rsidRDefault="00F37C3F">
      <w:pPr>
        <w:pStyle w:val="Textbody"/>
        <w:jc w:val="center"/>
        <w:rPr>
          <w:rFonts w:hint="eastAsia"/>
        </w:rPr>
      </w:pPr>
      <w:r>
        <w:br/>
      </w:r>
      <w:r>
        <w:br/>
      </w:r>
      <w:r>
        <w:br/>
      </w:r>
      <w:r>
        <w:br/>
      </w:r>
    </w:p>
    <w:p w:rsidR="006443A2" w:rsidRDefault="006443A2">
      <w:pPr>
        <w:pStyle w:val="Textbody"/>
        <w:jc w:val="center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18"/>
      </w:tblGrid>
      <w:tr w:rsidR="006443A2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</w:t>
            </w:r>
            <w:r w:rsidR="00C44C3F">
              <w:rPr>
                <w:rFonts w:ascii="Times New Roman" w:hAnsi="Times New Roman"/>
                <w:color w:val="000000"/>
              </w:rPr>
              <w:t xml:space="preserve">               </w:t>
            </w:r>
          </w:p>
          <w:p w:rsidR="006443A2" w:rsidRDefault="00F37C3F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Chefe do Departamento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3F" w:rsidRDefault="00C44C3F" w:rsidP="00C44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noProof/>
                <w:color w:val="000000"/>
                <w:lang w:eastAsia="pt-BR" w:bidi="ar-SA"/>
              </w:rPr>
              <w:drawing>
                <wp:inline distT="0" distB="0" distL="0" distR="0">
                  <wp:extent cx="1752845" cy="457264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845" cy="4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43A2" w:rsidRDefault="00C44C3F" w:rsidP="00C44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  <w:r w:rsidR="00F37C3F">
              <w:rPr>
                <w:rFonts w:ascii="Times New Roman" w:hAnsi="Times New Roman"/>
                <w:color w:val="000000"/>
              </w:rPr>
              <w:t>Professor Orientador</w:t>
            </w:r>
          </w:p>
        </w:tc>
      </w:tr>
    </w:tbl>
    <w:p w:rsidR="006443A2" w:rsidRDefault="006443A2">
      <w:pPr>
        <w:pStyle w:val="Standard"/>
        <w:rPr>
          <w:rFonts w:hint="eastAsia"/>
        </w:rPr>
      </w:pPr>
    </w:p>
    <w:sectPr w:rsidR="006443A2" w:rsidSect="00A039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5C" w:rsidRDefault="00C5005C">
      <w:pPr>
        <w:rPr>
          <w:rFonts w:hint="eastAsia"/>
        </w:rPr>
      </w:pPr>
      <w:r>
        <w:separator/>
      </w:r>
    </w:p>
  </w:endnote>
  <w:endnote w:type="continuationSeparator" w:id="0">
    <w:p w:rsidR="00C5005C" w:rsidRDefault="00C500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5C" w:rsidRDefault="00C500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005C" w:rsidRDefault="00C5005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DD6"/>
    <w:multiLevelType w:val="hybridMultilevel"/>
    <w:tmpl w:val="CF92B1EA"/>
    <w:lvl w:ilvl="0" w:tplc="0BE82B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B0D2D"/>
    <w:multiLevelType w:val="multilevel"/>
    <w:tmpl w:val="5E44E03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5AD56DF1"/>
    <w:multiLevelType w:val="hybridMultilevel"/>
    <w:tmpl w:val="13E6C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43A2"/>
    <w:rsid w:val="001D1879"/>
    <w:rsid w:val="002C05FC"/>
    <w:rsid w:val="00374794"/>
    <w:rsid w:val="003B24C0"/>
    <w:rsid w:val="006023FE"/>
    <w:rsid w:val="006443A2"/>
    <w:rsid w:val="0069642A"/>
    <w:rsid w:val="00870A4F"/>
    <w:rsid w:val="0092769E"/>
    <w:rsid w:val="00931114"/>
    <w:rsid w:val="0097227A"/>
    <w:rsid w:val="00A039F3"/>
    <w:rsid w:val="00A53608"/>
    <w:rsid w:val="00AC5D38"/>
    <w:rsid w:val="00C44C3F"/>
    <w:rsid w:val="00C5005C"/>
    <w:rsid w:val="00D7548A"/>
    <w:rsid w:val="00F37C3F"/>
    <w:rsid w:val="00FD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039F3"/>
  </w:style>
  <w:style w:type="paragraph" w:customStyle="1" w:styleId="Heading">
    <w:name w:val="Heading"/>
    <w:basedOn w:val="Standard"/>
    <w:next w:val="Textbody"/>
    <w:rsid w:val="00A039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039F3"/>
    <w:pPr>
      <w:spacing w:after="140" w:line="276" w:lineRule="auto"/>
    </w:pPr>
  </w:style>
  <w:style w:type="paragraph" w:styleId="Lista">
    <w:name w:val="List"/>
    <w:basedOn w:val="Textbody"/>
    <w:rsid w:val="00A039F3"/>
  </w:style>
  <w:style w:type="paragraph" w:styleId="Legenda">
    <w:name w:val="caption"/>
    <w:basedOn w:val="Standard"/>
    <w:rsid w:val="00A039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39F3"/>
    <w:pPr>
      <w:suppressLineNumbers/>
    </w:pPr>
  </w:style>
  <w:style w:type="paragraph" w:customStyle="1" w:styleId="TableContents">
    <w:name w:val="Table Contents"/>
    <w:basedOn w:val="Standard"/>
    <w:rsid w:val="00A039F3"/>
    <w:pPr>
      <w:widowControl w:val="0"/>
      <w:suppressLineNumbers/>
    </w:pPr>
  </w:style>
  <w:style w:type="paragraph" w:customStyle="1" w:styleId="TableHeading">
    <w:name w:val="Table Heading"/>
    <w:basedOn w:val="TableContents"/>
    <w:rsid w:val="00A039F3"/>
    <w:pPr>
      <w:jc w:val="center"/>
    </w:pPr>
    <w:rPr>
      <w:b/>
      <w:bCs/>
    </w:rPr>
  </w:style>
  <w:style w:type="character" w:customStyle="1" w:styleId="BulletSymbols">
    <w:name w:val="Bullet Symbols"/>
    <w:rsid w:val="00A039F3"/>
    <w:rPr>
      <w:rFonts w:ascii="OpenSymbol" w:eastAsia="OpenSymbol" w:hAnsi="OpenSymbol" w:cs="OpenSymbo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11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11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Pedro</dc:creator>
  <cp:lastModifiedBy>Usuário</cp:lastModifiedBy>
  <cp:revision>2</cp:revision>
  <dcterms:created xsi:type="dcterms:W3CDTF">2022-06-06T14:58:00Z</dcterms:created>
  <dcterms:modified xsi:type="dcterms:W3CDTF">2022-06-06T14:58:00Z</dcterms:modified>
</cp:coreProperties>
</file>