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9A6" w:rsidRDefault="00874083">
      <w:pPr>
        <w:pBdr>
          <w:top w:val="nil"/>
          <w:left w:val="nil"/>
          <w:bottom w:val="nil"/>
          <w:right w:val="nil"/>
          <w:between w:val="nil"/>
        </w:pBdr>
        <w:spacing w:after="120" w:line="276" w:lineRule="auto"/>
        <w:ind w:right="-15"/>
        <w:jc w:val="center"/>
        <w:rPr>
          <w:rFonts w:ascii="Times New Roman" w:eastAsia="Times New Roman" w:hAnsi="Times New Roman" w:cs="Times New Roman"/>
          <w:b/>
          <w:i/>
          <w:color w:val="000000"/>
          <w:sz w:val="24"/>
        </w:rPr>
      </w:pPr>
      <w:r>
        <w:rPr>
          <w:rFonts w:ascii="Times New Roman" w:eastAsia="Times New Roman" w:hAnsi="Times New Roman" w:cs="Times New Roman"/>
          <w:b/>
          <w:i/>
          <w:noProof/>
          <w:color w:val="000000"/>
          <w:sz w:val="24"/>
        </w:rPr>
        <w:drawing>
          <wp:inline distT="0" distB="0" distL="0" distR="0">
            <wp:extent cx="1038225" cy="11239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38225" cy="1123950"/>
                    </a:xfrm>
                    <a:prstGeom prst="rect">
                      <a:avLst/>
                    </a:prstGeom>
                    <a:ln/>
                  </pic:spPr>
                </pic:pic>
              </a:graphicData>
            </a:graphic>
          </wp:inline>
        </w:drawing>
      </w:r>
    </w:p>
    <w:p w:rsidR="009F69A6" w:rsidRDefault="00874083">
      <w:pPr>
        <w:pBdr>
          <w:top w:val="nil"/>
          <w:left w:val="nil"/>
          <w:bottom w:val="nil"/>
          <w:right w:val="nil"/>
          <w:between w:val="nil"/>
        </w:pBd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SERVIÇO PÚBLICO FEDERAL</w:t>
      </w:r>
    </w:p>
    <w:p w:rsidR="009F69A6" w:rsidRDefault="00874083">
      <w:pPr>
        <w:pBdr>
          <w:top w:val="nil"/>
          <w:left w:val="nil"/>
          <w:bottom w:val="nil"/>
          <w:right w:val="nil"/>
          <w:between w:val="nil"/>
        </w:pBd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UNIVERSIDADE FEDERAL DE JUIZ DE FORA</w:t>
      </w:r>
    </w:p>
    <w:p w:rsidR="009F69A6" w:rsidRDefault="009F69A6">
      <w:pPr>
        <w:pBdr>
          <w:top w:val="nil"/>
          <w:left w:val="nil"/>
          <w:bottom w:val="nil"/>
          <w:right w:val="nil"/>
          <w:between w:val="nil"/>
        </w:pBdr>
        <w:jc w:val="center"/>
        <w:rPr>
          <w:rFonts w:ascii="Times New Roman" w:eastAsia="Times New Roman" w:hAnsi="Times New Roman" w:cs="Times New Roman"/>
          <w:b/>
          <w:color w:val="000000"/>
          <w:sz w:val="24"/>
        </w:rPr>
      </w:pPr>
    </w:p>
    <w:p w:rsidR="009F69A6" w:rsidRDefault="00874083">
      <w:pPr>
        <w:pBdr>
          <w:top w:val="nil"/>
          <w:left w:val="nil"/>
          <w:bottom w:val="nil"/>
          <w:right w:val="nil"/>
          <w:between w:val="nil"/>
        </w:pBd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TERMO DE REFERÊNCIA</w:t>
      </w:r>
    </w:p>
    <w:p w:rsidR="009F69A6" w:rsidRDefault="009F69A6">
      <w:pPr>
        <w:pBdr>
          <w:top w:val="nil"/>
          <w:left w:val="nil"/>
          <w:bottom w:val="nil"/>
          <w:right w:val="nil"/>
          <w:between w:val="nil"/>
        </w:pBdr>
        <w:spacing w:line="276" w:lineRule="auto"/>
        <w:jc w:val="center"/>
        <w:rPr>
          <w:rFonts w:ascii="Times New Roman" w:eastAsia="Times New Roman" w:hAnsi="Times New Roman" w:cs="Times New Roman"/>
          <w:b/>
          <w:color w:val="000000"/>
          <w:sz w:val="24"/>
        </w:rPr>
      </w:pPr>
    </w:p>
    <w:p w:rsidR="009F69A6" w:rsidRDefault="00874083">
      <w:pPr>
        <w:pBdr>
          <w:top w:val="nil"/>
          <w:left w:val="nil"/>
          <w:bottom w:val="nil"/>
          <w:right w:val="nil"/>
          <w:between w:val="nil"/>
        </w:pBdr>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Requisição nº </w:t>
      </w:r>
    </w:p>
    <w:p w:rsidR="009F69A6" w:rsidRDefault="009F69A6">
      <w:pPr>
        <w:spacing w:after="120" w:line="276" w:lineRule="auto"/>
        <w:ind w:right="-15"/>
        <w:jc w:val="center"/>
        <w:rPr>
          <w:b/>
          <w:color w:val="000000"/>
          <w:highlight w:val="white"/>
        </w:rPr>
      </w:pPr>
    </w:p>
    <w:p w:rsidR="009F69A6" w:rsidRDefault="00874083">
      <w:pPr>
        <w:keepNext/>
        <w:keepLines/>
        <w:numPr>
          <w:ilvl w:val="0"/>
          <w:numId w:val="3"/>
        </w:numPr>
        <w:pBdr>
          <w:top w:val="nil"/>
          <w:left w:val="nil"/>
          <w:bottom w:val="nil"/>
          <w:right w:val="nil"/>
          <w:between w:val="nil"/>
        </w:pBdr>
        <w:tabs>
          <w:tab w:val="left" w:pos="708"/>
        </w:tabs>
        <w:spacing w:line="360" w:lineRule="auto"/>
        <w:ind w:left="360" w:hanging="360"/>
        <w:jc w:val="both"/>
        <w:rPr>
          <w:rFonts w:ascii="Times New Roman" w:eastAsia="Times New Roman" w:hAnsi="Times New Roman" w:cs="Times New Roman"/>
          <w:b/>
          <w:color w:val="000000"/>
          <w:sz w:val="24"/>
          <w:highlight w:val="white"/>
        </w:rPr>
      </w:pPr>
      <w:r>
        <w:rPr>
          <w:rFonts w:ascii="Times New Roman" w:eastAsia="Times New Roman" w:hAnsi="Times New Roman" w:cs="Times New Roman"/>
          <w:b/>
          <w:color w:val="000000"/>
          <w:sz w:val="24"/>
          <w:highlight w:val="white"/>
        </w:rPr>
        <w:t>DO OBJETO</w:t>
      </w:r>
    </w:p>
    <w:p w:rsidR="009F69A6" w:rsidRDefault="00874083">
      <w:pPr>
        <w:numPr>
          <w:ilvl w:val="1"/>
          <w:numId w:val="4"/>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Aquisição de</w:t>
      </w:r>
      <w:r>
        <w:rPr>
          <w:highlight w:val="white"/>
        </w:rPr>
        <w:t xml:space="preserve"> </w:t>
      </w:r>
      <w:r>
        <w:rPr>
          <w:rFonts w:cs="Arial"/>
          <w:color w:val="000000"/>
          <w:szCs w:val="20"/>
          <w:highlight w:val="white"/>
        </w:rPr>
        <w:t xml:space="preserve">material </w:t>
      </w:r>
      <w:r>
        <w:rPr>
          <w:highlight w:val="white"/>
        </w:rPr>
        <w:t>hospitalar</w:t>
      </w:r>
      <w:r>
        <w:rPr>
          <w:rFonts w:cs="Arial"/>
          <w:color w:val="000000"/>
          <w:szCs w:val="20"/>
          <w:highlight w:val="white"/>
        </w:rPr>
        <w:t>, conforme condições, quantidades e exigências estabelecida</w:t>
      </w:r>
      <w:r>
        <w:rPr>
          <w:highlight w:val="white"/>
        </w:rPr>
        <w:t>s no Anexo I.</w:t>
      </w:r>
    </w:p>
    <w:p w:rsidR="009F69A6" w:rsidRDefault="00874083">
      <w:pPr>
        <w:keepNext/>
        <w:keepLines/>
        <w:numPr>
          <w:ilvl w:val="0"/>
          <w:numId w:val="4"/>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JUSTIFICATIVA E OBJETIVO DA CONTRATAÇÃO</w:t>
      </w:r>
    </w:p>
    <w:p w:rsidR="009F69A6" w:rsidRDefault="00874083">
      <w:pPr>
        <w:numPr>
          <w:ilvl w:val="1"/>
          <w:numId w:val="4"/>
        </w:numPr>
        <w:pBdr>
          <w:top w:val="nil"/>
          <w:left w:val="nil"/>
          <w:bottom w:val="nil"/>
          <w:right w:val="nil"/>
          <w:between w:val="nil"/>
        </w:pBdr>
        <w:spacing w:before="120" w:after="120" w:line="276" w:lineRule="auto"/>
        <w:jc w:val="both"/>
        <w:rPr>
          <w:highlight w:val="white"/>
        </w:rPr>
      </w:pPr>
      <w:r>
        <w:rPr>
          <w:highlight w:val="white"/>
        </w:rPr>
        <w:t>A justificativa e objetivo da contratação encontra-se pormenorizada em Tópico específico dos Estudos Técnicos Preliminares, apêndice deste Termo de Referência.</w:t>
      </w:r>
    </w:p>
    <w:p w:rsidR="009F69A6" w:rsidRDefault="00874083">
      <w:pPr>
        <w:keepNext/>
        <w:keepLines/>
        <w:numPr>
          <w:ilvl w:val="0"/>
          <w:numId w:val="4"/>
        </w:numPr>
        <w:pBdr>
          <w:top w:val="nil"/>
          <w:left w:val="nil"/>
          <w:bottom w:val="nil"/>
          <w:right w:val="nil"/>
          <w:between w:val="nil"/>
        </w:pBdr>
        <w:spacing w:before="480" w:after="120" w:line="276" w:lineRule="auto"/>
        <w:jc w:val="both"/>
        <w:rPr>
          <w:rFonts w:cs="Arial"/>
          <w:b/>
          <w:color w:val="000000"/>
          <w:szCs w:val="20"/>
          <w:highlight w:val="white"/>
        </w:rPr>
      </w:pPr>
      <w:r>
        <w:rPr>
          <w:rFonts w:cs="Arial"/>
          <w:b/>
          <w:color w:val="000000"/>
          <w:szCs w:val="20"/>
          <w:highlight w:val="white"/>
        </w:rPr>
        <w:t>DESCRIÇÃO DA SOLUÇÃO:</w:t>
      </w:r>
    </w:p>
    <w:p w:rsidR="009F69A6" w:rsidRDefault="00874083">
      <w:pPr>
        <w:numPr>
          <w:ilvl w:val="1"/>
          <w:numId w:val="2"/>
        </w:numPr>
        <w:spacing w:before="120" w:after="120" w:line="276" w:lineRule="auto"/>
        <w:ind w:left="425" w:firstLine="0"/>
        <w:jc w:val="both"/>
        <w:rPr>
          <w:highlight w:val="white"/>
        </w:rPr>
      </w:pPr>
      <w:r>
        <w:rPr>
          <w:highlight w:val="white"/>
        </w:rPr>
        <w:t>A descrição da solução como um todo, encontra-se pormenorizada em Tópico específico dos Estudos Técnicos Preliminares, apêndice deste Termo de Referência.</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CLASSIFICAÇÃO DOS BENS COMUNS</w:t>
      </w:r>
    </w:p>
    <w:p w:rsidR="009F69A6" w:rsidRDefault="00874083">
      <w:pPr>
        <w:numPr>
          <w:ilvl w:val="1"/>
          <w:numId w:val="2"/>
        </w:numPr>
        <w:spacing w:before="120" w:after="120" w:line="276" w:lineRule="auto"/>
        <w:ind w:left="425" w:firstLine="0"/>
        <w:jc w:val="both"/>
        <w:rPr>
          <w:b/>
          <w:color w:val="000000"/>
          <w:highlight w:val="white"/>
        </w:rPr>
      </w:pPr>
      <w:r>
        <w:rPr>
          <w:highlight w:val="white"/>
        </w:rPr>
        <w:t>O(s) referido(s) materiais de consumo desse termo enquadram-se no dispositivo legal, art. 1</w:t>
      </w:r>
      <w:proofErr w:type="gramStart"/>
      <w:r>
        <w:rPr>
          <w:highlight w:val="white"/>
        </w:rPr>
        <w:t>°,Parágrafo</w:t>
      </w:r>
      <w:proofErr w:type="gramEnd"/>
      <w:r>
        <w:rPr>
          <w:highlight w:val="white"/>
        </w:rPr>
        <w:t xml:space="preserve"> único, da Lei 10.520: “Consideram-se bens e serviços comuns, para os fins e efeitos deste artigo, aqueles cujos padrões de desempenho e qualidade possam ser objetivamente definidos pelo edital, por meio de especificações usuais no mercado”.</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ENTREGA E CRITÉRIOS DE ACEITAÇÃO DO OBJETO.</w:t>
      </w:r>
    </w:p>
    <w:p w:rsidR="009F69A6" w:rsidRDefault="00874083">
      <w:pPr>
        <w:numPr>
          <w:ilvl w:val="1"/>
          <w:numId w:val="2"/>
        </w:numPr>
        <w:spacing w:before="120" w:after="120" w:line="276" w:lineRule="auto"/>
        <w:ind w:left="0" w:firstLine="0"/>
        <w:jc w:val="both"/>
        <w:rPr>
          <w:color w:val="000000"/>
          <w:highlight w:val="white"/>
        </w:rPr>
      </w:pPr>
      <w:r>
        <w:rPr>
          <w:color w:val="000000"/>
          <w:highlight w:val="white"/>
        </w:rPr>
        <w:t xml:space="preserve">O prazo de entrega dos bens é de 30 dias, contados da data de emissão da Nota de Empenho, em remessa única no seguinte endereço: Sede Administrativa da Universidade Federal de Juiz de Fora campus Governador Valadares, que está instalada na Rua São Paulo, 745 - Centro, Governador Valadares - MG, 35010-180. A/C </w:t>
      </w:r>
      <w:proofErr w:type="spellStart"/>
      <w:r>
        <w:rPr>
          <w:color w:val="000000"/>
          <w:highlight w:val="white"/>
        </w:rPr>
        <w:t>TAE´s</w:t>
      </w:r>
      <w:proofErr w:type="spellEnd"/>
      <w:r>
        <w:rPr>
          <w:color w:val="000000"/>
          <w:highlight w:val="white"/>
        </w:rPr>
        <w:t xml:space="preserve"> do Setor de Almoxarifado. Responsável pelo pedido: Daniela Cor</w:t>
      </w:r>
      <w:r>
        <w:rPr>
          <w:highlight w:val="white"/>
        </w:rPr>
        <w:t>rea Ferreira (daniela.correa@ufjf.edu.br)</w:t>
      </w:r>
      <w:r>
        <w:rPr>
          <w:color w:val="000000"/>
          <w:highlight w:val="white"/>
        </w:rPr>
        <w:t>.</w:t>
      </w:r>
    </w:p>
    <w:p w:rsidR="009F69A6" w:rsidRDefault="00874083">
      <w:pPr>
        <w:numPr>
          <w:ilvl w:val="1"/>
          <w:numId w:val="2"/>
        </w:numPr>
        <w:spacing w:before="120" w:after="120" w:line="276" w:lineRule="auto"/>
        <w:ind w:left="425" w:firstLine="0"/>
        <w:jc w:val="both"/>
        <w:rPr>
          <w:b/>
          <w:highlight w:val="white"/>
        </w:rPr>
      </w:pPr>
      <w:r>
        <w:rPr>
          <w:highlight w:val="white"/>
        </w:rPr>
        <w:t xml:space="preserve">Os bens serão recebidos provisoriamente no prazo de 15 (quinze) dias, pelo(a) responsável pelo acompanhamento e fiscalização do contrato, para efeito de posterior verificação de sua conformidade com as especificações constantes neste Termo de Referência e na proposta. </w:t>
      </w:r>
    </w:p>
    <w:p w:rsidR="009F69A6" w:rsidRDefault="00874083">
      <w:pPr>
        <w:numPr>
          <w:ilvl w:val="1"/>
          <w:numId w:val="2"/>
        </w:numPr>
        <w:spacing w:before="120" w:after="120" w:line="276" w:lineRule="auto"/>
        <w:ind w:left="425" w:firstLine="0"/>
        <w:jc w:val="both"/>
        <w:rPr>
          <w:highlight w:val="white"/>
        </w:rPr>
      </w:pPr>
      <w:r>
        <w:rPr>
          <w:highlight w:val="white"/>
        </w:rPr>
        <w:t xml:space="preserve">Os bens poderão ser rejeitados, no todo ou em parte, quando em desacordo com as especificações constantes neste Termo de Referência e na proposta, devendo ser substituídos no </w:t>
      </w:r>
      <w:r>
        <w:rPr>
          <w:highlight w:val="white"/>
        </w:rPr>
        <w:lastRenderedPageBreak/>
        <w:t>prazo de 15 (quinze) dias, a contar da notificação da contratada, às suas custas, sem prejuízo da aplicação das penalidades.</w:t>
      </w:r>
    </w:p>
    <w:p w:rsidR="009F69A6" w:rsidRDefault="00874083">
      <w:pPr>
        <w:numPr>
          <w:ilvl w:val="1"/>
          <w:numId w:val="2"/>
        </w:numPr>
        <w:spacing w:before="120" w:after="120" w:line="276" w:lineRule="auto"/>
        <w:ind w:left="425" w:firstLine="0"/>
        <w:jc w:val="both"/>
        <w:rPr>
          <w:highlight w:val="white"/>
        </w:rPr>
      </w:pPr>
      <w:r>
        <w:rPr>
          <w:highlight w:val="white"/>
        </w:rPr>
        <w:t>Os bens serão recebidos definitivamente no prazo de 30 (trinta) dias, contados do recebimento provisório, após a verificação da qualidade e quantidade do material e consequente aceitação mediante termo circunstanciado.</w:t>
      </w:r>
    </w:p>
    <w:p w:rsidR="009F69A6" w:rsidRDefault="00874083">
      <w:pPr>
        <w:numPr>
          <w:ilvl w:val="2"/>
          <w:numId w:val="2"/>
        </w:numPr>
        <w:spacing w:before="120" w:after="120" w:line="276" w:lineRule="auto"/>
        <w:ind w:left="1134" w:firstLine="0"/>
        <w:jc w:val="both"/>
        <w:rPr>
          <w:b/>
          <w:highlight w:val="white"/>
        </w:rPr>
      </w:pPr>
      <w:r>
        <w:rPr>
          <w:highlight w:val="white"/>
        </w:rPr>
        <w:t>Na hipótese de a verificação a que se refere o subitem anterior não ser procedida dentro do prazo fixado, reputar-se-á como realizada, consumando-se o recebimento definitivo no dia do esgotamento do prazo.</w:t>
      </w:r>
    </w:p>
    <w:p w:rsidR="009F69A6" w:rsidRDefault="00874083">
      <w:pPr>
        <w:numPr>
          <w:ilvl w:val="1"/>
          <w:numId w:val="2"/>
        </w:numPr>
        <w:spacing w:before="120" w:after="120" w:line="276" w:lineRule="auto"/>
        <w:ind w:left="425" w:firstLine="0"/>
        <w:jc w:val="both"/>
        <w:rPr>
          <w:highlight w:val="white"/>
        </w:rPr>
      </w:pPr>
      <w:r>
        <w:rPr>
          <w:highlight w:val="white"/>
        </w:rPr>
        <w:t>O recebimento provisório ou definitivo do objeto não exclui a responsabilidade da contratada pelos prejuízos resultantes da incorreta execução do contrato.</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OBRIGAÇÕES DA CONTRATANTE</w:t>
      </w:r>
    </w:p>
    <w:p w:rsidR="009F69A6" w:rsidRDefault="00874083">
      <w:pPr>
        <w:numPr>
          <w:ilvl w:val="1"/>
          <w:numId w:val="2"/>
        </w:numPr>
        <w:spacing w:before="120" w:after="120" w:line="276" w:lineRule="auto"/>
        <w:ind w:left="425" w:firstLine="0"/>
        <w:jc w:val="both"/>
        <w:rPr>
          <w:b/>
          <w:color w:val="000000"/>
          <w:highlight w:val="white"/>
        </w:rPr>
      </w:pPr>
      <w:r>
        <w:rPr>
          <w:highlight w:val="white"/>
        </w:rPr>
        <w:t>São obrigações da Contratante:</w:t>
      </w:r>
    </w:p>
    <w:p w:rsidR="009F69A6" w:rsidRDefault="00874083">
      <w:pPr>
        <w:numPr>
          <w:ilvl w:val="2"/>
          <w:numId w:val="2"/>
        </w:numPr>
        <w:spacing w:before="120" w:after="120" w:line="276" w:lineRule="auto"/>
        <w:ind w:left="1134" w:firstLine="0"/>
        <w:jc w:val="both"/>
        <w:rPr>
          <w:b/>
          <w:color w:val="000000"/>
          <w:highlight w:val="white"/>
        </w:rPr>
      </w:pPr>
      <w:proofErr w:type="gramStart"/>
      <w:r>
        <w:rPr>
          <w:highlight w:val="white"/>
        </w:rPr>
        <w:t>receber</w:t>
      </w:r>
      <w:proofErr w:type="gramEnd"/>
      <w:r>
        <w:rPr>
          <w:highlight w:val="white"/>
        </w:rPr>
        <w:t xml:space="preserve"> o objeto no prazo e condições estabelecidas no Edital e seus anexos;</w:t>
      </w:r>
    </w:p>
    <w:p w:rsidR="009F69A6" w:rsidRDefault="00874083">
      <w:pPr>
        <w:numPr>
          <w:ilvl w:val="2"/>
          <w:numId w:val="2"/>
        </w:numPr>
        <w:spacing w:before="120" w:after="120" w:line="276" w:lineRule="auto"/>
        <w:ind w:left="1134" w:firstLine="0"/>
        <w:jc w:val="both"/>
        <w:rPr>
          <w:b/>
          <w:color w:val="000000"/>
          <w:highlight w:val="white"/>
        </w:rPr>
      </w:pPr>
      <w:proofErr w:type="gramStart"/>
      <w:r>
        <w:rPr>
          <w:highlight w:val="white"/>
        </w:rPr>
        <w:t>verificar</w:t>
      </w:r>
      <w:proofErr w:type="gramEnd"/>
      <w:r>
        <w:rPr>
          <w:highlight w:val="white"/>
        </w:rPr>
        <w:t xml:space="preserve"> minuciosamente, no prazo fixado, a conformidade dos bens recebidos provisoriamente com as especificações constantes do Edital e da proposta, para fins de aceitação e recebimento definitivo;</w:t>
      </w:r>
    </w:p>
    <w:p w:rsidR="009F69A6" w:rsidRDefault="00874083">
      <w:pPr>
        <w:numPr>
          <w:ilvl w:val="2"/>
          <w:numId w:val="2"/>
        </w:numPr>
        <w:spacing w:before="120" w:after="120" w:line="276" w:lineRule="auto"/>
        <w:ind w:left="1134" w:firstLine="0"/>
        <w:jc w:val="both"/>
        <w:rPr>
          <w:b/>
          <w:color w:val="000000"/>
          <w:highlight w:val="white"/>
        </w:rPr>
      </w:pPr>
      <w:proofErr w:type="gramStart"/>
      <w:r>
        <w:rPr>
          <w:highlight w:val="white"/>
        </w:rPr>
        <w:t>comunicar</w:t>
      </w:r>
      <w:proofErr w:type="gramEnd"/>
      <w:r>
        <w:rPr>
          <w:highlight w:val="white"/>
        </w:rPr>
        <w:t xml:space="preserve"> à Contratada, por escrito, sobre imperfeições, falhas ou irregularidades verificadas no objeto fornecido, para que seja substituído, reparado ou corrigido;</w:t>
      </w:r>
    </w:p>
    <w:p w:rsidR="009F69A6" w:rsidRDefault="00874083">
      <w:pPr>
        <w:numPr>
          <w:ilvl w:val="2"/>
          <w:numId w:val="2"/>
        </w:numPr>
        <w:spacing w:before="120" w:after="120" w:line="276" w:lineRule="auto"/>
        <w:ind w:left="1134" w:firstLine="0"/>
        <w:jc w:val="both"/>
        <w:rPr>
          <w:b/>
          <w:color w:val="000000"/>
          <w:highlight w:val="white"/>
        </w:rPr>
      </w:pPr>
      <w:proofErr w:type="gramStart"/>
      <w:r>
        <w:rPr>
          <w:highlight w:val="white"/>
        </w:rPr>
        <w:t>acompanhar</w:t>
      </w:r>
      <w:proofErr w:type="gramEnd"/>
      <w:r>
        <w:rPr>
          <w:highlight w:val="white"/>
        </w:rPr>
        <w:t xml:space="preserve"> e fiscalizar o cumprimento das obrigações da Contratada, através de comissão/servidor especialmente designado;</w:t>
      </w:r>
    </w:p>
    <w:p w:rsidR="009F69A6" w:rsidRDefault="00874083">
      <w:pPr>
        <w:numPr>
          <w:ilvl w:val="2"/>
          <w:numId w:val="2"/>
        </w:numPr>
        <w:spacing w:before="120" w:after="120" w:line="276" w:lineRule="auto"/>
        <w:ind w:left="1134" w:firstLine="0"/>
        <w:jc w:val="both"/>
        <w:rPr>
          <w:b/>
          <w:color w:val="000000"/>
          <w:highlight w:val="white"/>
        </w:rPr>
      </w:pPr>
      <w:proofErr w:type="gramStart"/>
      <w:r>
        <w:rPr>
          <w:highlight w:val="white"/>
        </w:rPr>
        <w:t>efetuar</w:t>
      </w:r>
      <w:proofErr w:type="gramEnd"/>
      <w:r>
        <w:rPr>
          <w:highlight w:val="white"/>
        </w:rPr>
        <w:t xml:space="preserve"> o pagamento à Contratada</w:t>
      </w:r>
      <w:r>
        <w:rPr>
          <w:b/>
          <w:highlight w:val="white"/>
        </w:rPr>
        <w:t xml:space="preserve"> </w:t>
      </w:r>
      <w:r>
        <w:rPr>
          <w:highlight w:val="white"/>
        </w:rPr>
        <w:t>no valor correspondente ao fornecimento do objeto, no prazo e forma estabelecidos no Edital e seus anexos;</w:t>
      </w:r>
    </w:p>
    <w:p w:rsidR="009F69A6" w:rsidRDefault="00874083">
      <w:pPr>
        <w:numPr>
          <w:ilvl w:val="1"/>
          <w:numId w:val="2"/>
        </w:numPr>
        <w:spacing w:before="120" w:after="120" w:line="276" w:lineRule="auto"/>
        <w:ind w:left="425" w:firstLine="0"/>
        <w:jc w:val="both"/>
        <w:rPr>
          <w:b/>
          <w:color w:val="000000"/>
          <w:highlight w:val="white"/>
        </w:rPr>
      </w:pPr>
      <w:r>
        <w:rPr>
          <w:highlight w:val="white"/>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OBRIGAÇÕES DA CONTRATADA</w:t>
      </w:r>
    </w:p>
    <w:p w:rsidR="009F69A6" w:rsidRDefault="00874083">
      <w:pPr>
        <w:numPr>
          <w:ilvl w:val="1"/>
          <w:numId w:val="2"/>
        </w:numPr>
        <w:spacing w:before="120" w:after="120" w:line="276" w:lineRule="auto"/>
        <w:ind w:left="425" w:firstLine="0"/>
        <w:jc w:val="both"/>
        <w:rPr>
          <w:b/>
          <w:color w:val="000000"/>
          <w:highlight w:val="white"/>
        </w:rPr>
      </w:pPr>
      <w:r>
        <w:rPr>
          <w:highlight w:val="white"/>
        </w:rPr>
        <w:t>A Contratada deve cumprir todas as obrigações constantes no Edital, seus anexos e sua proposta, assumindo como exclusivamente seus os riscos e as despesas decorrentes da boa e perfeita execução do objeto e, ainda:</w:t>
      </w:r>
    </w:p>
    <w:p w:rsidR="009F69A6" w:rsidRDefault="00874083">
      <w:pPr>
        <w:numPr>
          <w:ilvl w:val="2"/>
          <w:numId w:val="2"/>
        </w:numPr>
        <w:spacing w:before="120" w:after="120" w:line="276" w:lineRule="auto"/>
        <w:ind w:left="1134" w:firstLine="0"/>
        <w:jc w:val="both"/>
        <w:rPr>
          <w:b/>
          <w:highlight w:val="white"/>
        </w:rPr>
      </w:pPr>
      <w:proofErr w:type="gramStart"/>
      <w:r>
        <w:rPr>
          <w:highlight w:val="white"/>
        </w:rPr>
        <w:t>efetuar</w:t>
      </w:r>
      <w:proofErr w:type="gramEnd"/>
      <w:r>
        <w:rPr>
          <w:highlight w:val="white"/>
        </w:rPr>
        <w:t xml:space="preserve">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9F69A6" w:rsidRDefault="00874083">
      <w:pPr>
        <w:numPr>
          <w:ilvl w:val="3"/>
          <w:numId w:val="2"/>
        </w:numPr>
        <w:spacing w:before="120" w:after="120" w:line="276" w:lineRule="auto"/>
        <w:ind w:left="1701" w:firstLine="0"/>
        <w:jc w:val="both"/>
        <w:rPr>
          <w:highlight w:val="white"/>
        </w:rPr>
      </w:pPr>
      <w:r>
        <w:rPr>
          <w:highlight w:val="white"/>
        </w:rPr>
        <w:t>O objeto deve estar acompanhado do manual do usuário, com uma versão em português e da relação da rede de assistência técnica autorizada;</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responsabilizar</w:t>
      </w:r>
      <w:proofErr w:type="gramEnd"/>
      <w:r>
        <w:rPr>
          <w:highlight w:val="white"/>
        </w:rPr>
        <w:t>-se pelos vícios e danos decorrentes do objeto, de acordo com os artigos 12, 13 e 17 a 27, do Código de Defesa do Consumidor (Lei nº 8.078, de 1990);</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substituir</w:t>
      </w:r>
      <w:proofErr w:type="gramEnd"/>
      <w:r>
        <w:rPr>
          <w:highlight w:val="white"/>
        </w:rPr>
        <w:t>, reparar ou corrigir, às suas expensas, no prazo fixado neste Termo de Referência, o objeto com avarias ou defeitos;</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lastRenderedPageBreak/>
        <w:t>comunicar</w:t>
      </w:r>
      <w:proofErr w:type="gramEnd"/>
      <w:r>
        <w:rPr>
          <w:highlight w:val="white"/>
        </w:rPr>
        <w:t xml:space="preserve"> à Contratante, no prazo máximo de 24 (vinte e quatro) horas que antecede a data da entrega, os motivos que impossibilitem o cumprimento do prazo previsto, com a devida comprovação;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manter</w:t>
      </w:r>
      <w:proofErr w:type="gramEnd"/>
      <w:r>
        <w:rPr>
          <w:highlight w:val="white"/>
        </w:rPr>
        <w:t>, durante toda a execução do contrato, em compatibilidade com as obrigações assumidas, todas as condições de habilitação e qualificação exigidas na licitação;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indicar</w:t>
      </w:r>
      <w:proofErr w:type="gramEnd"/>
      <w:r>
        <w:rPr>
          <w:highlight w:val="white"/>
        </w:rPr>
        <w:t xml:space="preserve"> preposto para representá-la durante a execução do contrato.</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DA SUBCONTRATAÇÃO</w:t>
      </w:r>
    </w:p>
    <w:p w:rsidR="009F69A6" w:rsidRDefault="00874083">
      <w:pPr>
        <w:numPr>
          <w:ilvl w:val="1"/>
          <w:numId w:val="2"/>
        </w:numPr>
        <w:spacing w:before="120" w:after="120" w:line="276" w:lineRule="auto"/>
        <w:ind w:left="425" w:firstLine="0"/>
        <w:jc w:val="both"/>
        <w:rPr>
          <w:highlight w:val="white"/>
        </w:rPr>
      </w:pPr>
      <w:r>
        <w:rPr>
          <w:highlight w:val="white"/>
        </w:rPr>
        <w:t>Não será admitida a subcontratação do objeto licitatório.</w:t>
      </w:r>
    </w:p>
    <w:p w:rsidR="009F69A6" w:rsidRDefault="00874083">
      <w:pPr>
        <w:keepNext/>
        <w:keepLines/>
        <w:numPr>
          <w:ilvl w:val="0"/>
          <w:numId w:val="2"/>
        </w:numPr>
        <w:pBdr>
          <w:top w:val="nil"/>
          <w:left w:val="nil"/>
          <w:bottom w:val="nil"/>
          <w:right w:val="nil"/>
          <w:between w:val="nil"/>
        </w:pBdr>
        <w:spacing w:before="480" w:after="120" w:line="276" w:lineRule="auto"/>
        <w:jc w:val="both"/>
        <w:rPr>
          <w:rFonts w:cs="Arial"/>
          <w:b/>
          <w:color w:val="000000"/>
          <w:szCs w:val="20"/>
          <w:highlight w:val="white"/>
        </w:rPr>
      </w:pPr>
      <w:r>
        <w:rPr>
          <w:rFonts w:cs="Arial"/>
          <w:b/>
          <w:color w:val="000000"/>
          <w:szCs w:val="20"/>
          <w:highlight w:val="white"/>
        </w:rPr>
        <w:t>DA ALTERAÇÃO SUBJETIVA</w:t>
      </w:r>
    </w:p>
    <w:p w:rsidR="009F69A6" w:rsidRDefault="00874083">
      <w:pPr>
        <w:numPr>
          <w:ilvl w:val="1"/>
          <w:numId w:val="2"/>
        </w:numPr>
        <w:spacing w:before="120" w:after="120" w:line="276" w:lineRule="auto"/>
        <w:ind w:left="425" w:firstLine="0"/>
        <w:jc w:val="both"/>
        <w:rPr>
          <w:color w:val="0000FF"/>
          <w:highlight w:val="white"/>
        </w:rPr>
      </w:pPr>
      <w:r>
        <w:rPr>
          <w:highlight w:val="white"/>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9F69A6" w:rsidRDefault="00874083">
      <w:pPr>
        <w:keepNext/>
        <w:keepLines/>
        <w:numPr>
          <w:ilvl w:val="0"/>
          <w:numId w:val="2"/>
        </w:numPr>
        <w:pBdr>
          <w:top w:val="nil"/>
          <w:left w:val="nil"/>
          <w:bottom w:val="nil"/>
          <w:right w:val="nil"/>
          <w:between w:val="nil"/>
        </w:pBdr>
        <w:spacing w:before="480" w:after="120" w:line="276" w:lineRule="auto"/>
        <w:jc w:val="both"/>
        <w:rPr>
          <w:rFonts w:cs="Arial"/>
          <w:b/>
          <w:color w:val="000000"/>
          <w:szCs w:val="20"/>
          <w:highlight w:val="white"/>
        </w:rPr>
      </w:pPr>
      <w:r>
        <w:rPr>
          <w:rFonts w:cs="Arial"/>
          <w:b/>
          <w:color w:val="000000"/>
          <w:szCs w:val="20"/>
          <w:highlight w:val="white"/>
        </w:rPr>
        <w:t>DO CONTROLE E FISCALIZAÇÃO DA EXECUÇÃO</w:t>
      </w:r>
    </w:p>
    <w:p w:rsidR="009F69A6" w:rsidRDefault="00874083">
      <w:pPr>
        <w:numPr>
          <w:ilvl w:val="1"/>
          <w:numId w:val="2"/>
        </w:numPr>
        <w:spacing w:before="120" w:after="120" w:line="276" w:lineRule="auto"/>
        <w:ind w:left="425" w:firstLine="0"/>
        <w:jc w:val="both"/>
        <w:rPr>
          <w:color w:val="000000"/>
          <w:highlight w:val="white"/>
        </w:rPr>
      </w:pPr>
      <w:r>
        <w:rPr>
          <w:color w:val="000000"/>
          <w:highlight w:val="white"/>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F69A6" w:rsidRDefault="00874083">
      <w:pPr>
        <w:numPr>
          <w:ilvl w:val="2"/>
          <w:numId w:val="2"/>
        </w:numPr>
        <w:spacing w:before="120" w:after="120" w:line="276" w:lineRule="auto"/>
        <w:ind w:left="1134" w:firstLine="0"/>
        <w:jc w:val="both"/>
        <w:rPr>
          <w:highlight w:val="white"/>
        </w:rPr>
      </w:pPr>
      <w:r>
        <w:rPr>
          <w:highlight w:val="white"/>
        </w:rPr>
        <w:t>O recebimento de material de valor superior a R$ 176.000,00 (cento e setenta e seis mil reais) será confiado a uma comissão de, no mínimo, 3 (três) membros, designados pela autoridade competente.</w:t>
      </w:r>
    </w:p>
    <w:p w:rsidR="009F69A6" w:rsidRDefault="00874083">
      <w:pPr>
        <w:numPr>
          <w:ilvl w:val="1"/>
          <w:numId w:val="2"/>
        </w:numPr>
        <w:spacing w:before="120" w:after="120" w:line="276" w:lineRule="auto"/>
        <w:ind w:left="425" w:firstLine="0"/>
        <w:jc w:val="both"/>
        <w:rPr>
          <w:color w:val="000000"/>
          <w:highlight w:val="white"/>
        </w:rPr>
      </w:pPr>
      <w:r>
        <w:rPr>
          <w:color w:val="000000"/>
          <w:highlight w:val="white"/>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9F69A6" w:rsidRDefault="00874083">
      <w:pPr>
        <w:numPr>
          <w:ilvl w:val="1"/>
          <w:numId w:val="2"/>
        </w:numPr>
        <w:spacing w:before="120" w:after="120" w:line="276" w:lineRule="auto"/>
        <w:ind w:left="425" w:firstLine="0"/>
        <w:jc w:val="both"/>
        <w:rPr>
          <w:color w:val="000000"/>
          <w:highlight w:val="white"/>
        </w:rPr>
      </w:pPr>
      <w:r>
        <w:rPr>
          <w:color w:val="000000"/>
          <w:highlight w:val="white"/>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DO PAGAMENTO</w:t>
      </w:r>
    </w:p>
    <w:p w:rsidR="009F69A6" w:rsidRDefault="009F69A6">
      <w:pPr>
        <w:spacing w:before="120" w:after="120" w:line="276" w:lineRule="auto"/>
        <w:ind w:left="425"/>
        <w:jc w:val="both"/>
        <w:rPr>
          <w:color w:val="000000"/>
          <w:highlight w:val="white"/>
        </w:rPr>
      </w:pP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O pagamento será realizado no prazo máximo de até 30 (trinta) dias, contados a partir do recebimento da Nota Fiscal ou Fatura, através de ordem bancária, para crédito em banco, agência e conta corrente indicados pelo contratado.</w:t>
      </w:r>
    </w:p>
    <w:p w:rsidR="009F69A6" w:rsidRDefault="00874083">
      <w:pPr>
        <w:numPr>
          <w:ilvl w:val="2"/>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 xml:space="preserve">Os pagamentos decorrentes de despesas cujos valores não ultrapassem o limite de que trata o inciso II do art. 24 da Lei 8.666, de 1993, deverão ser efetuados no prazo de até 5 (cinco) </w:t>
      </w:r>
      <w:r>
        <w:rPr>
          <w:rFonts w:cs="Arial"/>
          <w:color w:val="000000"/>
          <w:szCs w:val="20"/>
          <w:highlight w:val="white"/>
        </w:rPr>
        <w:lastRenderedPageBreak/>
        <w:t>dias úteis, contados da data da apresentação da Nota Fiscal, nos termos do art. 5º, § 3º, da Lei nº 8.666, de 1993.</w:t>
      </w:r>
    </w:p>
    <w:p w:rsidR="009F69A6" w:rsidRDefault="00874083">
      <w:pPr>
        <w:numPr>
          <w:ilvl w:val="1"/>
          <w:numId w:val="2"/>
        </w:numPr>
        <w:pBdr>
          <w:top w:val="nil"/>
          <w:left w:val="nil"/>
          <w:bottom w:val="nil"/>
          <w:right w:val="nil"/>
          <w:between w:val="nil"/>
        </w:pBdr>
        <w:spacing w:before="120" w:after="120" w:line="276" w:lineRule="auto"/>
        <w:jc w:val="both"/>
        <w:rPr>
          <w:rFonts w:cs="Arial"/>
          <w:strike/>
          <w:color w:val="000000"/>
          <w:szCs w:val="20"/>
          <w:highlight w:val="white"/>
        </w:rPr>
      </w:pPr>
      <w:r>
        <w:rPr>
          <w:rFonts w:cs="Arial"/>
          <w:color w:val="000000"/>
          <w:szCs w:val="20"/>
          <w:highlight w:val="white"/>
        </w:rPr>
        <w:t>Considera-se ocorrido o recebimento da nota fiscal ou fatura no momento em que o órgão contratante atestar a execução do objeto do contrato.</w:t>
      </w:r>
    </w:p>
    <w:p w:rsidR="009F69A6" w:rsidRDefault="00874083">
      <w:pPr>
        <w:numPr>
          <w:ilvl w:val="1"/>
          <w:numId w:val="2"/>
        </w:numPr>
        <w:spacing w:before="120" w:after="120" w:line="276" w:lineRule="auto"/>
        <w:jc w:val="both"/>
        <w:rPr>
          <w:color w:val="000000"/>
          <w:highlight w:val="white"/>
        </w:rPr>
      </w:pPr>
      <w:r>
        <w:rPr>
          <w:color w:val="000000"/>
          <w:highlight w:val="white"/>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9F69A6" w:rsidRDefault="00874083">
      <w:pPr>
        <w:numPr>
          <w:ilvl w:val="2"/>
          <w:numId w:val="2"/>
        </w:numPr>
        <w:spacing w:before="120" w:after="120" w:line="276" w:lineRule="auto"/>
        <w:jc w:val="both"/>
        <w:rPr>
          <w:color w:val="000000"/>
          <w:highlight w:val="white"/>
        </w:rPr>
      </w:pPr>
      <w:r>
        <w:rPr>
          <w:color w:val="000000"/>
          <w:highlight w:val="white"/>
        </w:rPr>
        <w:t>Constatando-se, junto ao SICAF, a situação de irregularidade do fornecedor contratado, deverão ser tomadas as providências previstas no do art. 31 da Instrução Normativa nº 3, de 26 de abril de 2018.</w:t>
      </w:r>
    </w:p>
    <w:p w:rsidR="009F69A6" w:rsidRDefault="00874083">
      <w:pPr>
        <w:numPr>
          <w:ilvl w:val="1"/>
          <w:numId w:val="2"/>
        </w:numPr>
        <w:pBdr>
          <w:top w:val="nil"/>
          <w:left w:val="nil"/>
          <w:bottom w:val="nil"/>
          <w:right w:val="nil"/>
          <w:between w:val="nil"/>
        </w:pBdr>
        <w:spacing w:before="120" w:after="120" w:line="276" w:lineRule="auto"/>
        <w:ind w:left="425" w:firstLine="0"/>
        <w:jc w:val="both"/>
        <w:rPr>
          <w:rFonts w:cs="Arial"/>
          <w:color w:val="000000"/>
          <w:szCs w:val="20"/>
          <w:highlight w:val="white"/>
        </w:rPr>
      </w:pPr>
      <w:r>
        <w:rPr>
          <w:rFonts w:cs="Arial"/>
          <w:color w:val="000000"/>
          <w:szCs w:val="20"/>
          <w:highlight w:val="white"/>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9F69A6" w:rsidRDefault="00874083">
      <w:pPr>
        <w:numPr>
          <w:ilvl w:val="1"/>
          <w:numId w:val="2"/>
        </w:numPr>
        <w:spacing w:before="120" w:after="120" w:line="276" w:lineRule="auto"/>
        <w:jc w:val="both"/>
        <w:rPr>
          <w:highlight w:val="white"/>
        </w:rPr>
      </w:pPr>
      <w:r>
        <w:rPr>
          <w:highlight w:val="white"/>
        </w:rPr>
        <w:t>Será considerada data do pagamento o dia em que constar como emitida a ordem bancária para pagamento.</w:t>
      </w:r>
    </w:p>
    <w:p w:rsidR="009F69A6" w:rsidRDefault="00874083">
      <w:pPr>
        <w:numPr>
          <w:ilvl w:val="1"/>
          <w:numId w:val="2"/>
        </w:numPr>
        <w:spacing w:before="120" w:after="120" w:line="276" w:lineRule="auto"/>
        <w:jc w:val="both"/>
        <w:rPr>
          <w:highlight w:val="white"/>
        </w:rPr>
      </w:pPr>
      <w:r>
        <w:rPr>
          <w:highlight w:val="white"/>
        </w:rPr>
        <w:t xml:space="preserve">Antes de cada pagamento à contratada, será realizada consulta ao SICAF para verificar a manutenção das condições de habilitação exigidas no edital. </w:t>
      </w:r>
    </w:p>
    <w:p w:rsidR="009F69A6" w:rsidRDefault="00874083">
      <w:pPr>
        <w:numPr>
          <w:ilvl w:val="1"/>
          <w:numId w:val="2"/>
        </w:numPr>
        <w:spacing w:before="120" w:after="120" w:line="276" w:lineRule="auto"/>
        <w:jc w:val="both"/>
        <w:rPr>
          <w:highlight w:val="white"/>
        </w:rPr>
      </w:pPr>
      <w:r>
        <w:rPr>
          <w:highlight w:val="white"/>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9F69A6" w:rsidRDefault="00874083">
      <w:pPr>
        <w:numPr>
          <w:ilvl w:val="1"/>
          <w:numId w:val="2"/>
        </w:numPr>
        <w:spacing w:before="120" w:after="120" w:line="276" w:lineRule="auto"/>
        <w:jc w:val="both"/>
        <w:rPr>
          <w:highlight w:val="white"/>
        </w:rPr>
      </w:pPr>
      <w:r>
        <w:rPr>
          <w:highlight w:val="white"/>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9F69A6" w:rsidRDefault="00874083">
      <w:pPr>
        <w:numPr>
          <w:ilvl w:val="1"/>
          <w:numId w:val="2"/>
        </w:numPr>
        <w:spacing w:before="120" w:after="120" w:line="276" w:lineRule="auto"/>
        <w:jc w:val="both"/>
        <w:rPr>
          <w:highlight w:val="white"/>
        </w:rPr>
      </w:pPr>
      <w:r>
        <w:rPr>
          <w:highlight w:val="white"/>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9F69A6" w:rsidRDefault="00874083">
      <w:pPr>
        <w:numPr>
          <w:ilvl w:val="1"/>
          <w:numId w:val="2"/>
        </w:numPr>
        <w:spacing w:before="120" w:after="120" w:line="276" w:lineRule="auto"/>
        <w:jc w:val="both"/>
        <w:rPr>
          <w:highlight w:val="white"/>
        </w:rPr>
      </w:pPr>
      <w:r>
        <w:rPr>
          <w:highlight w:val="white"/>
        </w:rPr>
        <w:t xml:space="preserve">Persistindo a irregularidade, a contratante deverá adotar as medidas necessárias à rescisão contratual nos autos do processo administrativo correspondente, assegurada à contratada a ampla defesa. </w:t>
      </w:r>
    </w:p>
    <w:p w:rsidR="009F69A6" w:rsidRDefault="00874083">
      <w:pPr>
        <w:numPr>
          <w:ilvl w:val="1"/>
          <w:numId w:val="2"/>
        </w:numPr>
        <w:spacing w:before="120" w:after="120" w:line="276" w:lineRule="auto"/>
        <w:jc w:val="both"/>
        <w:rPr>
          <w:highlight w:val="white"/>
        </w:rPr>
      </w:pPr>
      <w:r>
        <w:rPr>
          <w:highlight w:val="white"/>
        </w:rPr>
        <w:t xml:space="preserve">Havendo a efetiva execução do objeto, os pagamentos serão realizados normalmente, até que se decida pela rescisão do contrato, caso a contratada não regularize sua situação junto ao SICAF.  </w:t>
      </w:r>
    </w:p>
    <w:p w:rsidR="009F69A6" w:rsidRDefault="00874083">
      <w:pPr>
        <w:pBdr>
          <w:top w:val="nil"/>
          <w:left w:val="nil"/>
          <w:bottom w:val="nil"/>
          <w:right w:val="nil"/>
          <w:between w:val="nil"/>
        </w:pBdr>
        <w:spacing w:before="120" w:after="120" w:line="276" w:lineRule="auto"/>
        <w:ind w:left="716"/>
        <w:jc w:val="both"/>
        <w:rPr>
          <w:rFonts w:cs="Arial"/>
          <w:color w:val="000000"/>
          <w:szCs w:val="20"/>
          <w:highlight w:val="white"/>
        </w:rPr>
      </w:pPr>
      <w:r>
        <w:rPr>
          <w:rFonts w:cs="Arial"/>
          <w:color w:val="000000"/>
          <w:szCs w:val="20"/>
          <w:highlight w:val="white"/>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Quando do pagamento, será efetuada a retenção tributária prevista na legislação aplicável.</w:t>
      </w:r>
    </w:p>
    <w:p w:rsidR="009F69A6" w:rsidRDefault="00874083">
      <w:pPr>
        <w:numPr>
          <w:ilvl w:val="2"/>
          <w:numId w:val="2"/>
        </w:numPr>
        <w:tabs>
          <w:tab w:val="left" w:pos="1440"/>
        </w:tabs>
        <w:spacing w:before="120" w:after="120" w:line="276" w:lineRule="auto"/>
        <w:ind w:left="1134" w:firstLine="0"/>
        <w:jc w:val="both"/>
        <w:rPr>
          <w:color w:val="000000"/>
          <w:highlight w:val="white"/>
        </w:rPr>
      </w:pPr>
      <w:r>
        <w:rPr>
          <w:color w:val="000000"/>
          <w:highlight w:val="white"/>
        </w:rPr>
        <w:lastRenderedPageBreak/>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F69A6" w:rsidRDefault="00874083">
      <w:pPr>
        <w:spacing w:before="120" w:after="120" w:line="276" w:lineRule="auto"/>
        <w:jc w:val="both"/>
        <w:rPr>
          <w:color w:val="000000"/>
          <w:highlight w:val="white"/>
        </w:rPr>
      </w:pPr>
      <w:r>
        <w:rPr>
          <w:highlight w:val="white"/>
        </w:rPr>
        <w:t xml:space="preserve"> </w:t>
      </w:r>
    </w:p>
    <w:p w:rsidR="009F69A6" w:rsidRDefault="00874083">
      <w:pPr>
        <w:numPr>
          <w:ilvl w:val="1"/>
          <w:numId w:val="2"/>
        </w:numPr>
        <w:pBdr>
          <w:top w:val="nil"/>
          <w:left w:val="nil"/>
          <w:bottom w:val="nil"/>
          <w:right w:val="nil"/>
          <w:between w:val="nil"/>
        </w:pBdr>
        <w:spacing w:before="120" w:after="120" w:line="276" w:lineRule="auto"/>
        <w:ind w:left="425" w:firstLine="0"/>
        <w:jc w:val="both"/>
        <w:rPr>
          <w:rFonts w:cs="Arial"/>
          <w:color w:val="000000"/>
          <w:szCs w:val="20"/>
          <w:highlight w:val="white"/>
        </w:rPr>
      </w:pPr>
      <w:r>
        <w:rPr>
          <w:rFonts w:cs="Arial"/>
          <w:color w:val="000000"/>
          <w:szCs w:val="20"/>
          <w:highlight w:val="white"/>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9F69A6" w:rsidRDefault="00874083">
      <w:pPr>
        <w:tabs>
          <w:tab w:val="left" w:pos="1701"/>
        </w:tabs>
        <w:spacing w:before="120" w:after="120" w:line="276" w:lineRule="auto"/>
        <w:ind w:left="425"/>
        <w:jc w:val="both"/>
        <w:rPr>
          <w:color w:val="000000"/>
          <w:highlight w:val="white"/>
        </w:rPr>
      </w:pPr>
      <w:r>
        <w:rPr>
          <w:color w:val="000000"/>
          <w:highlight w:val="white"/>
        </w:rPr>
        <w:t>EM = I x N x VP, sendo:</w:t>
      </w:r>
    </w:p>
    <w:p w:rsidR="009F69A6" w:rsidRDefault="00874083">
      <w:pPr>
        <w:tabs>
          <w:tab w:val="left" w:pos="1701"/>
        </w:tabs>
        <w:spacing w:before="120" w:after="120" w:line="276" w:lineRule="auto"/>
        <w:ind w:left="425"/>
        <w:jc w:val="both"/>
        <w:rPr>
          <w:color w:val="000000"/>
          <w:highlight w:val="white"/>
        </w:rPr>
      </w:pPr>
      <w:r>
        <w:rPr>
          <w:color w:val="000000"/>
          <w:highlight w:val="white"/>
        </w:rPr>
        <w:t>EM = Encargos moratórios;</w:t>
      </w:r>
    </w:p>
    <w:p w:rsidR="009F69A6" w:rsidRDefault="00874083">
      <w:pPr>
        <w:tabs>
          <w:tab w:val="left" w:pos="1701"/>
        </w:tabs>
        <w:spacing w:before="120" w:after="120" w:line="276" w:lineRule="auto"/>
        <w:ind w:left="425"/>
        <w:jc w:val="both"/>
        <w:rPr>
          <w:color w:val="000000"/>
          <w:highlight w:val="white"/>
        </w:rPr>
      </w:pPr>
      <w:r>
        <w:rPr>
          <w:color w:val="000000"/>
          <w:highlight w:val="white"/>
        </w:rPr>
        <w:t>N = Número de dias entre a data prevista para o pagamento e a do efetivo pagamento;</w:t>
      </w:r>
    </w:p>
    <w:p w:rsidR="009F69A6" w:rsidRDefault="00874083">
      <w:pPr>
        <w:tabs>
          <w:tab w:val="left" w:pos="1701"/>
        </w:tabs>
        <w:spacing w:before="120" w:after="120" w:line="276" w:lineRule="auto"/>
        <w:ind w:left="425"/>
        <w:jc w:val="both"/>
        <w:rPr>
          <w:color w:val="000000"/>
          <w:highlight w:val="white"/>
        </w:rPr>
      </w:pPr>
      <w:r>
        <w:rPr>
          <w:color w:val="000000"/>
          <w:highlight w:val="white"/>
        </w:rPr>
        <w:t>VP = Valor da parcela a ser paga.</w:t>
      </w:r>
    </w:p>
    <w:p w:rsidR="009F69A6" w:rsidRDefault="00874083">
      <w:pPr>
        <w:tabs>
          <w:tab w:val="left" w:pos="1701"/>
        </w:tabs>
        <w:spacing w:before="120" w:after="120" w:line="276" w:lineRule="auto"/>
        <w:ind w:left="425"/>
        <w:jc w:val="both"/>
        <w:rPr>
          <w:color w:val="000000"/>
          <w:highlight w:val="white"/>
        </w:rPr>
      </w:pPr>
      <w:r>
        <w:rPr>
          <w:color w:val="000000"/>
          <w:highlight w:val="white"/>
        </w:rPr>
        <w:t>I = Índice de compensação financeira = 0,00016438, assim apurado:</w:t>
      </w:r>
    </w:p>
    <w:tbl>
      <w:tblPr>
        <w:tblStyle w:val="a"/>
        <w:tblW w:w="8646"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149"/>
        <w:gridCol w:w="578"/>
        <w:gridCol w:w="1247"/>
        <w:gridCol w:w="4672"/>
      </w:tblGrid>
      <w:tr w:rsidR="009F69A6">
        <w:tc>
          <w:tcPr>
            <w:tcW w:w="2149" w:type="dxa"/>
            <w:vAlign w:val="center"/>
          </w:tcPr>
          <w:p w:rsidR="009F69A6" w:rsidRDefault="00874083">
            <w:pPr>
              <w:tabs>
                <w:tab w:val="left" w:pos="1701"/>
              </w:tabs>
              <w:jc w:val="center"/>
              <w:rPr>
                <w:color w:val="000000"/>
                <w:highlight w:val="white"/>
              </w:rPr>
            </w:pPr>
            <w:r>
              <w:rPr>
                <w:color w:val="000000"/>
                <w:highlight w:val="white"/>
              </w:rPr>
              <w:t>I = (TX)</w:t>
            </w:r>
          </w:p>
        </w:tc>
        <w:tc>
          <w:tcPr>
            <w:tcW w:w="578" w:type="dxa"/>
            <w:vAlign w:val="center"/>
          </w:tcPr>
          <w:p w:rsidR="009F69A6" w:rsidRDefault="00874083">
            <w:pPr>
              <w:tabs>
                <w:tab w:val="left" w:pos="1701"/>
              </w:tabs>
              <w:rPr>
                <w:color w:val="000000"/>
                <w:highlight w:val="white"/>
              </w:rPr>
            </w:pPr>
            <w:r>
              <w:rPr>
                <w:color w:val="000000"/>
                <w:highlight w:val="white"/>
              </w:rPr>
              <w:t xml:space="preserve">I = </w:t>
            </w:r>
          </w:p>
        </w:tc>
        <w:tc>
          <w:tcPr>
            <w:tcW w:w="1247" w:type="dxa"/>
            <w:tcBorders>
              <w:bottom w:val="single" w:sz="4" w:space="0" w:color="000000"/>
            </w:tcBorders>
          </w:tcPr>
          <w:p w:rsidR="009F69A6" w:rsidRDefault="00874083">
            <w:pPr>
              <w:tabs>
                <w:tab w:val="left" w:pos="1701"/>
              </w:tabs>
              <w:jc w:val="center"/>
              <w:rPr>
                <w:color w:val="000000"/>
                <w:highlight w:val="white"/>
              </w:rPr>
            </w:pPr>
            <w:r>
              <w:rPr>
                <w:color w:val="000000"/>
                <w:highlight w:val="white"/>
              </w:rPr>
              <w:t>( 6 / 100 )</w:t>
            </w:r>
          </w:p>
        </w:tc>
        <w:tc>
          <w:tcPr>
            <w:tcW w:w="4672" w:type="dxa"/>
            <w:vAlign w:val="center"/>
          </w:tcPr>
          <w:p w:rsidR="009F69A6" w:rsidRDefault="00874083">
            <w:pPr>
              <w:tabs>
                <w:tab w:val="left" w:pos="1701"/>
              </w:tabs>
              <w:ind w:left="742"/>
              <w:rPr>
                <w:color w:val="000000"/>
                <w:highlight w:val="white"/>
              </w:rPr>
            </w:pPr>
            <w:r>
              <w:rPr>
                <w:color w:val="000000"/>
                <w:highlight w:val="white"/>
              </w:rPr>
              <w:t>I = 0,00016438</w:t>
            </w:r>
          </w:p>
          <w:p w:rsidR="009F69A6" w:rsidRDefault="00874083">
            <w:pPr>
              <w:tabs>
                <w:tab w:val="left" w:pos="1701"/>
              </w:tabs>
              <w:ind w:left="742"/>
              <w:rPr>
                <w:color w:val="000000"/>
                <w:highlight w:val="white"/>
              </w:rPr>
            </w:pPr>
            <w:r>
              <w:rPr>
                <w:color w:val="000000"/>
                <w:highlight w:val="white"/>
              </w:rPr>
              <w:t>TX = Percentual da taxa anual = 6%</w:t>
            </w:r>
          </w:p>
        </w:tc>
      </w:tr>
    </w:tbl>
    <w:p w:rsidR="009F69A6" w:rsidRDefault="00874083">
      <w:pPr>
        <w:rPr>
          <w:highlight w:val="white"/>
        </w:rPr>
      </w:pPr>
      <w:r>
        <w:rPr>
          <w:highlight w:val="white"/>
        </w:rPr>
        <w:t xml:space="preserve">                                                            365</w:t>
      </w:r>
    </w:p>
    <w:p w:rsidR="009F69A6" w:rsidRDefault="00874083">
      <w:pPr>
        <w:keepNext/>
        <w:keepLines/>
        <w:numPr>
          <w:ilvl w:val="0"/>
          <w:numId w:val="2"/>
        </w:numPr>
        <w:pBdr>
          <w:top w:val="nil"/>
          <w:left w:val="nil"/>
          <w:bottom w:val="nil"/>
          <w:right w:val="nil"/>
          <w:between w:val="nil"/>
        </w:pBdr>
        <w:spacing w:before="480" w:after="120" w:line="276" w:lineRule="auto"/>
        <w:jc w:val="both"/>
        <w:rPr>
          <w:highlight w:val="white"/>
        </w:rPr>
      </w:pPr>
      <w:r>
        <w:rPr>
          <w:rFonts w:cs="Arial"/>
          <w:b/>
          <w:color w:val="000000"/>
          <w:szCs w:val="20"/>
          <w:highlight w:val="white"/>
        </w:rPr>
        <w:t xml:space="preserve">DO REAJUSTE </w:t>
      </w:r>
    </w:p>
    <w:p w:rsidR="009F69A6" w:rsidRDefault="009F69A6">
      <w:pPr>
        <w:rPr>
          <w:highlight w:val="white"/>
        </w:rPr>
      </w:pPr>
    </w:p>
    <w:p w:rsidR="009F69A6" w:rsidRDefault="00874083">
      <w:pPr>
        <w:numPr>
          <w:ilvl w:val="1"/>
          <w:numId w:val="2"/>
        </w:numPr>
        <w:pBdr>
          <w:top w:val="nil"/>
          <w:left w:val="nil"/>
          <w:bottom w:val="nil"/>
          <w:right w:val="nil"/>
          <w:between w:val="nil"/>
        </w:pBdr>
        <w:spacing w:before="120" w:after="120" w:line="276" w:lineRule="auto"/>
        <w:ind w:left="425" w:firstLine="0"/>
        <w:jc w:val="both"/>
        <w:rPr>
          <w:rFonts w:cs="Arial"/>
          <w:color w:val="000000"/>
          <w:szCs w:val="20"/>
          <w:highlight w:val="white"/>
        </w:rPr>
      </w:pPr>
      <w:r>
        <w:rPr>
          <w:rFonts w:cs="Arial"/>
          <w:color w:val="000000"/>
          <w:szCs w:val="20"/>
          <w:highlight w:val="white"/>
        </w:rPr>
        <w:t>Os preços são fixos e irreajustáveis no prazo de um ano contado da data limite para a apresentação das propostas.</w:t>
      </w:r>
    </w:p>
    <w:p w:rsidR="009F69A6" w:rsidRDefault="009F69A6">
      <w:pPr>
        <w:spacing w:after="120" w:line="276" w:lineRule="auto"/>
        <w:ind w:left="425"/>
        <w:jc w:val="both"/>
        <w:rPr>
          <w:color w:val="000000"/>
          <w:highlight w:val="white"/>
        </w:rPr>
      </w:pPr>
    </w:p>
    <w:p w:rsidR="009F69A6" w:rsidRDefault="00874083">
      <w:pPr>
        <w:keepNext/>
        <w:keepLines/>
        <w:numPr>
          <w:ilvl w:val="0"/>
          <w:numId w:val="2"/>
        </w:numPr>
        <w:pBdr>
          <w:top w:val="nil"/>
          <w:left w:val="nil"/>
          <w:bottom w:val="nil"/>
          <w:right w:val="nil"/>
          <w:between w:val="nil"/>
        </w:pBdr>
        <w:spacing w:after="120" w:line="276" w:lineRule="auto"/>
        <w:jc w:val="both"/>
        <w:rPr>
          <w:highlight w:val="white"/>
        </w:rPr>
      </w:pPr>
      <w:r>
        <w:rPr>
          <w:rFonts w:cs="Arial"/>
          <w:b/>
          <w:color w:val="000000"/>
          <w:szCs w:val="20"/>
          <w:highlight w:val="white"/>
        </w:rPr>
        <w:t>DA GARANTIA DE EXECUÇÃO</w:t>
      </w:r>
    </w:p>
    <w:p w:rsidR="009F69A6" w:rsidRDefault="00874083">
      <w:pPr>
        <w:numPr>
          <w:ilvl w:val="1"/>
          <w:numId w:val="2"/>
        </w:numPr>
        <w:spacing w:before="120" w:after="120" w:line="276" w:lineRule="auto"/>
        <w:jc w:val="both"/>
        <w:rPr>
          <w:highlight w:val="white"/>
        </w:rPr>
      </w:pPr>
      <w:r>
        <w:rPr>
          <w:highlight w:val="white"/>
        </w:rPr>
        <w:t>Não haverá exigência de garantia contratual da execução, pelas razões abaixo justificadas:</w:t>
      </w:r>
    </w:p>
    <w:p w:rsidR="009F69A6" w:rsidRDefault="00874083">
      <w:pPr>
        <w:numPr>
          <w:ilvl w:val="2"/>
          <w:numId w:val="2"/>
        </w:numPr>
        <w:spacing w:before="120" w:after="120" w:line="276" w:lineRule="auto"/>
        <w:jc w:val="both"/>
        <w:rPr>
          <w:highlight w:val="white"/>
        </w:rPr>
      </w:pPr>
      <w:r>
        <w:rPr>
          <w:highlight w:val="white"/>
        </w:rPr>
        <w:t>Não será contratado nenhum tipo de prestação de serviço.</w:t>
      </w:r>
    </w:p>
    <w:p w:rsidR="009F69A6" w:rsidRDefault="00874083">
      <w:pPr>
        <w:keepNext/>
        <w:keepLines/>
        <w:numPr>
          <w:ilvl w:val="0"/>
          <w:numId w:val="2"/>
        </w:numPr>
        <w:pBdr>
          <w:top w:val="nil"/>
          <w:left w:val="nil"/>
          <w:bottom w:val="nil"/>
          <w:right w:val="nil"/>
          <w:between w:val="nil"/>
        </w:pBdr>
        <w:spacing w:before="480" w:after="120" w:line="276" w:lineRule="auto"/>
        <w:ind w:left="357" w:hanging="357"/>
        <w:jc w:val="both"/>
        <w:rPr>
          <w:highlight w:val="white"/>
        </w:rPr>
      </w:pPr>
      <w:r>
        <w:rPr>
          <w:rFonts w:cs="Arial"/>
          <w:b/>
          <w:color w:val="000000"/>
          <w:szCs w:val="20"/>
          <w:highlight w:val="white"/>
        </w:rPr>
        <w:t>DAS SANÇÕES ADMINISTRATIVAS</w:t>
      </w:r>
    </w:p>
    <w:p w:rsidR="009F69A6" w:rsidRDefault="00874083">
      <w:pPr>
        <w:numPr>
          <w:ilvl w:val="1"/>
          <w:numId w:val="2"/>
        </w:numPr>
        <w:spacing w:before="120" w:after="120" w:line="276" w:lineRule="auto"/>
        <w:ind w:left="425" w:firstLine="0"/>
        <w:jc w:val="both"/>
        <w:rPr>
          <w:highlight w:val="white"/>
        </w:rPr>
      </w:pPr>
      <w:r>
        <w:rPr>
          <w:highlight w:val="white"/>
        </w:rPr>
        <w:t>Comete infração administrativa nos termos da Lei nº 10.520, de 2002, a Contratada que:</w:t>
      </w:r>
    </w:p>
    <w:p w:rsidR="009F69A6" w:rsidRDefault="00874083">
      <w:pPr>
        <w:numPr>
          <w:ilvl w:val="2"/>
          <w:numId w:val="2"/>
        </w:numPr>
        <w:spacing w:before="120" w:after="120" w:line="276" w:lineRule="auto"/>
        <w:ind w:left="1134" w:firstLine="0"/>
        <w:jc w:val="both"/>
        <w:rPr>
          <w:highlight w:val="white"/>
        </w:rPr>
      </w:pPr>
      <w:proofErr w:type="spellStart"/>
      <w:proofErr w:type="gramStart"/>
      <w:r>
        <w:rPr>
          <w:highlight w:val="white"/>
        </w:rPr>
        <w:t>inexecutar</w:t>
      </w:r>
      <w:proofErr w:type="spellEnd"/>
      <w:proofErr w:type="gramEnd"/>
      <w:r>
        <w:rPr>
          <w:highlight w:val="white"/>
        </w:rPr>
        <w:t xml:space="preserve"> total ou parcialmente qualquer das obrigações assumidas em decorrência da contratação;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ensejar</w:t>
      </w:r>
      <w:proofErr w:type="gramEnd"/>
      <w:r>
        <w:rPr>
          <w:highlight w:val="white"/>
        </w:rPr>
        <w:t xml:space="preserve"> o retardamento da execução do objeto;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falhar</w:t>
      </w:r>
      <w:proofErr w:type="gramEnd"/>
      <w:r>
        <w:rPr>
          <w:highlight w:val="white"/>
        </w:rPr>
        <w:t xml:space="preserve"> ou fraudar na execução do contrato;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comportar</w:t>
      </w:r>
      <w:proofErr w:type="gramEnd"/>
      <w:r>
        <w:rPr>
          <w:highlight w:val="white"/>
        </w:rPr>
        <w:t>-se de modo inidôneo;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cometer</w:t>
      </w:r>
      <w:proofErr w:type="gramEnd"/>
      <w:r>
        <w:rPr>
          <w:highlight w:val="white"/>
        </w:rPr>
        <w:t xml:space="preserve"> fraude fiscal;</w:t>
      </w:r>
    </w:p>
    <w:p w:rsidR="009F69A6" w:rsidRDefault="00874083">
      <w:pPr>
        <w:numPr>
          <w:ilvl w:val="1"/>
          <w:numId w:val="2"/>
        </w:numPr>
        <w:pBdr>
          <w:top w:val="nil"/>
          <w:left w:val="nil"/>
          <w:bottom w:val="nil"/>
          <w:right w:val="nil"/>
          <w:between w:val="nil"/>
        </w:pBdr>
        <w:spacing w:before="120" w:after="120" w:line="276" w:lineRule="auto"/>
        <w:ind w:right="-30"/>
        <w:jc w:val="both"/>
        <w:rPr>
          <w:rFonts w:cs="Arial"/>
          <w:color w:val="000000"/>
          <w:szCs w:val="20"/>
          <w:highlight w:val="white"/>
        </w:rPr>
      </w:pPr>
      <w:r>
        <w:rPr>
          <w:rFonts w:cs="Arial"/>
          <w:color w:val="000000"/>
          <w:szCs w:val="20"/>
          <w:highlight w:val="white"/>
        </w:rPr>
        <w:t xml:space="preserve">Pela inexecução </w:t>
      </w:r>
      <w:r>
        <w:rPr>
          <w:rFonts w:cs="Arial"/>
          <w:color w:val="000000"/>
          <w:szCs w:val="20"/>
          <w:highlight w:val="white"/>
          <w:u w:val="single"/>
        </w:rPr>
        <w:t>total ou parcial</w:t>
      </w:r>
      <w:r>
        <w:rPr>
          <w:rFonts w:cs="Arial"/>
          <w:color w:val="000000"/>
          <w:szCs w:val="20"/>
          <w:highlight w:val="white"/>
        </w:rPr>
        <w:t xml:space="preserve"> do objeto deste contrato, a Administração pode aplicar à CONTRATADA as seguintes sanções:</w:t>
      </w:r>
    </w:p>
    <w:p w:rsidR="009F69A6" w:rsidRDefault="00874083">
      <w:pPr>
        <w:numPr>
          <w:ilvl w:val="2"/>
          <w:numId w:val="2"/>
        </w:numPr>
        <w:spacing w:before="120" w:after="120" w:line="276" w:lineRule="auto"/>
        <w:ind w:left="1134" w:firstLine="0"/>
        <w:jc w:val="both"/>
        <w:rPr>
          <w:highlight w:val="white"/>
        </w:rPr>
      </w:pPr>
      <w:r>
        <w:rPr>
          <w:highlight w:val="white"/>
        </w:rPr>
        <w:lastRenderedPageBreak/>
        <w:t>Advertência, por faltas leves, assim entendidas aquelas que não acarretem prejuízos significativos para a Contratante;</w:t>
      </w:r>
    </w:p>
    <w:p w:rsidR="009F69A6" w:rsidRDefault="00874083">
      <w:pPr>
        <w:numPr>
          <w:ilvl w:val="1"/>
          <w:numId w:val="2"/>
        </w:numPr>
        <w:pBdr>
          <w:top w:val="nil"/>
          <w:left w:val="nil"/>
          <w:bottom w:val="nil"/>
          <w:right w:val="nil"/>
          <w:between w:val="nil"/>
        </w:pBdr>
        <w:spacing w:before="120" w:after="120" w:line="276" w:lineRule="auto"/>
        <w:ind w:right="-30"/>
        <w:jc w:val="both"/>
        <w:rPr>
          <w:rFonts w:cs="Arial"/>
          <w:color w:val="000000"/>
          <w:szCs w:val="20"/>
          <w:highlight w:val="white"/>
        </w:rPr>
      </w:pPr>
      <w:proofErr w:type="gramStart"/>
      <w:r>
        <w:rPr>
          <w:rFonts w:cs="Arial"/>
          <w:color w:val="000000"/>
          <w:szCs w:val="20"/>
          <w:highlight w:val="white"/>
        </w:rPr>
        <w:t>multa</w:t>
      </w:r>
      <w:proofErr w:type="gramEnd"/>
      <w:r>
        <w:rPr>
          <w:rFonts w:cs="Arial"/>
          <w:color w:val="000000"/>
          <w:szCs w:val="20"/>
          <w:highlight w:val="white"/>
        </w:rPr>
        <w:t xml:space="preserve"> moratória de 2 % (dois por cento) por dia de atraso injustificado sobre o valor da parcela inadimplida, até o limite de 10 (dez) dias;</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multa</w:t>
      </w:r>
      <w:proofErr w:type="gramEnd"/>
      <w:r>
        <w:rPr>
          <w:highlight w:val="white"/>
        </w:rPr>
        <w:t xml:space="preserve"> compensatória de 20% (vinte por cento) sobre o valor total do contrato, no caso de inexecução total do objeto;</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em</w:t>
      </w:r>
      <w:proofErr w:type="gramEnd"/>
      <w:r>
        <w:rPr>
          <w:highlight w:val="white"/>
        </w:rPr>
        <w:t xml:space="preserve"> caso de inexecução parcial, a multa compensatória, no mesmo percentual do subitem acima, será aplicada de forma proporcional à obrigação inadimplida;</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suspensão</w:t>
      </w:r>
      <w:proofErr w:type="gramEnd"/>
      <w:r>
        <w:rPr>
          <w:highlight w:val="white"/>
        </w:rPr>
        <w:t xml:space="preserve"> de licitar e impedimento de contratar com o órgão, entidade ou unidade administrativa pela qual a Administração Pública opera e atua concretamente, pelo prazo de até dois anos; </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impedimento</w:t>
      </w:r>
      <w:proofErr w:type="gramEnd"/>
      <w:r>
        <w:rPr>
          <w:highlight w:val="white"/>
        </w:rPr>
        <w:t xml:space="preserve"> de licitar e contratar com órgãos e entidades da União com o consequente descredenciamento no SICAF pelo prazo de até cinco anos;</w:t>
      </w:r>
    </w:p>
    <w:p w:rsidR="009F69A6" w:rsidRDefault="00874083">
      <w:pPr>
        <w:numPr>
          <w:ilvl w:val="3"/>
          <w:numId w:val="2"/>
        </w:numPr>
        <w:pBdr>
          <w:top w:val="nil"/>
          <w:left w:val="nil"/>
          <w:bottom w:val="nil"/>
          <w:right w:val="nil"/>
          <w:between w:val="nil"/>
        </w:pBdr>
        <w:spacing w:before="120" w:after="120" w:line="276" w:lineRule="auto"/>
        <w:ind w:right="-30" w:hanging="647"/>
        <w:jc w:val="both"/>
        <w:rPr>
          <w:rFonts w:cs="Arial"/>
          <w:color w:val="000000"/>
          <w:szCs w:val="20"/>
          <w:highlight w:val="white"/>
        </w:rPr>
      </w:pPr>
      <w:r>
        <w:rPr>
          <w:rFonts w:cs="Arial"/>
          <w:color w:val="000000"/>
          <w:szCs w:val="20"/>
          <w:highlight w:val="white"/>
        </w:rPr>
        <w:t>A Sanção de impedimento de licitar e contratar prevista neste subitem também é aplicável em quaisquer das hipóteses previstas como infração administrativa no subitem 16.1 deste Termo de Referência.</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declaração</w:t>
      </w:r>
      <w:proofErr w:type="gramEnd"/>
      <w:r>
        <w:rPr>
          <w:highlight w:val="white"/>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F69A6" w:rsidRDefault="00874083">
      <w:pPr>
        <w:numPr>
          <w:ilvl w:val="1"/>
          <w:numId w:val="2"/>
        </w:numPr>
        <w:spacing w:before="120" w:after="120" w:line="276" w:lineRule="auto"/>
        <w:ind w:right="-30"/>
        <w:jc w:val="both"/>
        <w:rPr>
          <w:highlight w:val="white"/>
        </w:rPr>
      </w:pPr>
      <w:r>
        <w:rPr>
          <w:highlight w:val="white"/>
        </w:rPr>
        <w:t>As sanções previstas nos subitens 12.2.1, 12.3.3, 12.3.4 e 12.3.5 poderão ser aplicadas à CONTRATADA juntamente com as de multa, descontando-a dos pagamentos a serem efetuados.</w:t>
      </w:r>
    </w:p>
    <w:p w:rsidR="009F69A6" w:rsidRDefault="00874083">
      <w:pPr>
        <w:numPr>
          <w:ilvl w:val="1"/>
          <w:numId w:val="2"/>
        </w:numPr>
        <w:spacing w:before="120" w:after="120" w:line="276" w:lineRule="auto"/>
        <w:ind w:left="425" w:firstLine="0"/>
        <w:jc w:val="both"/>
        <w:rPr>
          <w:highlight w:val="white"/>
        </w:rPr>
      </w:pPr>
      <w:r>
        <w:rPr>
          <w:highlight w:val="white"/>
        </w:rPr>
        <w:t>Também ficam sujeitas às penalidades do art. 87, III e IV da Lei nº 8.666, de 1993, as empresas ou profissionais que:</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tenham</w:t>
      </w:r>
      <w:proofErr w:type="gramEnd"/>
      <w:r>
        <w:rPr>
          <w:highlight w:val="white"/>
        </w:rPr>
        <w:t xml:space="preserve"> sofrido condenação definitiva por praticar, por meio dolosos, fraude fiscal no recolhimento de quaisquer tributos;</w:t>
      </w:r>
    </w:p>
    <w:p w:rsidR="009F69A6" w:rsidRDefault="00874083">
      <w:pPr>
        <w:numPr>
          <w:ilvl w:val="2"/>
          <w:numId w:val="2"/>
        </w:numPr>
        <w:spacing w:before="120" w:after="120" w:line="276" w:lineRule="auto"/>
        <w:ind w:left="1134" w:firstLine="0"/>
        <w:jc w:val="both"/>
        <w:rPr>
          <w:highlight w:val="white"/>
        </w:rPr>
      </w:pPr>
      <w:proofErr w:type="gramStart"/>
      <w:r>
        <w:rPr>
          <w:highlight w:val="white"/>
        </w:rPr>
        <w:t>tenham</w:t>
      </w:r>
      <w:proofErr w:type="gramEnd"/>
      <w:r>
        <w:rPr>
          <w:highlight w:val="white"/>
        </w:rPr>
        <w:t xml:space="preserve"> praticado atos ilícitos visando a frustrar os objetivos da licitação;</w:t>
      </w:r>
    </w:p>
    <w:p w:rsidR="009F69A6" w:rsidRDefault="00874083">
      <w:pPr>
        <w:numPr>
          <w:ilvl w:val="2"/>
          <w:numId w:val="2"/>
        </w:numPr>
        <w:spacing w:before="240" w:after="120" w:line="276" w:lineRule="auto"/>
        <w:ind w:left="1134" w:right="-17" w:hanging="283"/>
        <w:jc w:val="both"/>
        <w:rPr>
          <w:highlight w:val="white"/>
        </w:rPr>
      </w:pPr>
      <w:proofErr w:type="gramStart"/>
      <w:r>
        <w:rPr>
          <w:highlight w:val="white"/>
        </w:rPr>
        <w:t>demonstrem</w:t>
      </w:r>
      <w:proofErr w:type="gramEnd"/>
      <w:r>
        <w:rPr>
          <w:highlight w:val="white"/>
        </w:rPr>
        <w:t xml:space="preserve"> não possuir idoneidade para contratar com a Administração em virtude de atos ilícitos praticados.</w:t>
      </w:r>
    </w:p>
    <w:p w:rsidR="009F69A6" w:rsidRDefault="00874083">
      <w:pPr>
        <w:numPr>
          <w:ilvl w:val="1"/>
          <w:numId w:val="2"/>
        </w:numPr>
        <w:spacing w:before="120" w:after="120" w:line="276" w:lineRule="auto"/>
        <w:ind w:left="425" w:firstLine="0"/>
        <w:jc w:val="both"/>
        <w:rPr>
          <w:highlight w:val="white"/>
        </w:rPr>
      </w:pPr>
      <w:r>
        <w:rPr>
          <w:highlight w:val="white"/>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9F69A6" w:rsidRDefault="00874083">
      <w:pPr>
        <w:numPr>
          <w:ilvl w:val="1"/>
          <w:numId w:val="2"/>
        </w:numPr>
        <w:spacing w:before="120" w:after="120" w:line="276" w:lineRule="auto"/>
        <w:ind w:right="-30"/>
        <w:jc w:val="both"/>
        <w:rPr>
          <w:highlight w:val="white"/>
        </w:rPr>
      </w:pPr>
      <w:r>
        <w:rPr>
          <w:highlight w:val="white"/>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9F69A6" w:rsidRDefault="00874083">
      <w:pPr>
        <w:numPr>
          <w:ilvl w:val="2"/>
          <w:numId w:val="2"/>
        </w:numPr>
        <w:spacing w:before="120" w:after="120" w:line="276" w:lineRule="auto"/>
        <w:ind w:right="-30"/>
        <w:jc w:val="both"/>
        <w:rPr>
          <w:highlight w:val="white"/>
        </w:rPr>
      </w:pPr>
      <w:r>
        <w:rPr>
          <w:highlight w:val="white"/>
        </w:rPr>
        <w:t>Caso a Contratante determine, a multa deverá ser recolhida no prazo máximo de 30 (trinta) dias, a contar da data do recebimento da comunicação enviada pela autoridade competente.</w:t>
      </w:r>
    </w:p>
    <w:p w:rsidR="009F69A6" w:rsidRDefault="00874083">
      <w:pPr>
        <w:numPr>
          <w:ilvl w:val="1"/>
          <w:numId w:val="2"/>
        </w:numPr>
        <w:spacing w:before="120" w:after="120" w:line="276" w:lineRule="auto"/>
        <w:ind w:right="-30"/>
        <w:jc w:val="both"/>
        <w:rPr>
          <w:highlight w:val="white"/>
        </w:rPr>
      </w:pPr>
      <w:r>
        <w:rPr>
          <w:highlight w:val="white"/>
        </w:rPr>
        <w:t>Caso o valor da multa não seja suficiente para cobrir os prejuízos causados pela conduta do licitante, a União ou Entidade poderá cobrar o valor remanescente judicialmente, conforme artigo 419 do Código Civil.</w:t>
      </w:r>
    </w:p>
    <w:p w:rsidR="009F69A6" w:rsidRDefault="00874083">
      <w:pPr>
        <w:numPr>
          <w:ilvl w:val="1"/>
          <w:numId w:val="2"/>
        </w:numPr>
        <w:spacing w:before="120" w:after="120" w:line="276" w:lineRule="auto"/>
        <w:ind w:right="-30"/>
        <w:jc w:val="both"/>
        <w:rPr>
          <w:highlight w:val="white"/>
        </w:rPr>
      </w:pPr>
      <w:r>
        <w:rPr>
          <w:highlight w:val="white"/>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rFonts w:cs="Arial"/>
          <w:color w:val="000000"/>
          <w:szCs w:val="20"/>
          <w:highlight w:val="white"/>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F69A6" w:rsidRDefault="00874083">
      <w:pPr>
        <w:numPr>
          <w:ilvl w:val="1"/>
          <w:numId w:val="2"/>
        </w:numPr>
        <w:pBdr>
          <w:top w:val="nil"/>
          <w:left w:val="nil"/>
          <w:bottom w:val="nil"/>
          <w:right w:val="nil"/>
          <w:between w:val="nil"/>
        </w:pBdr>
        <w:spacing w:before="120" w:after="120" w:line="276" w:lineRule="auto"/>
        <w:jc w:val="both"/>
        <w:rPr>
          <w:rFonts w:cs="Arial"/>
          <w:color w:val="000000"/>
          <w:szCs w:val="20"/>
          <w:highlight w:val="white"/>
        </w:rPr>
      </w:pPr>
      <w:r>
        <w:rPr>
          <w:highlight w:val="white"/>
        </w:rPr>
        <w:t>As penalidades serão obrigatoriamente registradas no SICAF.</w:t>
      </w:r>
    </w:p>
    <w:p w:rsidR="009F69A6" w:rsidRDefault="009F69A6">
      <w:pPr>
        <w:keepNext/>
        <w:keepLines/>
        <w:pBdr>
          <w:top w:val="nil"/>
          <w:left w:val="nil"/>
          <w:bottom w:val="nil"/>
          <w:right w:val="nil"/>
          <w:between w:val="nil"/>
        </w:pBdr>
        <w:spacing w:before="120" w:after="120" w:line="276" w:lineRule="auto"/>
        <w:ind w:left="357" w:right="-30" w:hanging="360"/>
        <w:jc w:val="both"/>
        <w:rPr>
          <w:rFonts w:cs="Arial"/>
          <w:b/>
          <w:color w:val="000000"/>
          <w:szCs w:val="20"/>
          <w:highlight w:val="white"/>
        </w:rPr>
      </w:pPr>
    </w:p>
    <w:p w:rsidR="009F69A6" w:rsidRDefault="00874083">
      <w:pPr>
        <w:keepNext/>
        <w:keepLines/>
        <w:numPr>
          <w:ilvl w:val="0"/>
          <w:numId w:val="2"/>
        </w:numPr>
        <w:pBdr>
          <w:top w:val="nil"/>
          <w:left w:val="nil"/>
          <w:bottom w:val="nil"/>
          <w:right w:val="nil"/>
          <w:between w:val="nil"/>
        </w:pBdr>
        <w:spacing w:before="120" w:after="120" w:line="276" w:lineRule="auto"/>
        <w:ind w:right="-30"/>
        <w:jc w:val="both"/>
        <w:rPr>
          <w:rFonts w:cs="Arial"/>
          <w:color w:val="FF0000"/>
          <w:szCs w:val="20"/>
          <w:highlight w:val="white"/>
        </w:rPr>
      </w:pPr>
      <w:r>
        <w:rPr>
          <w:rFonts w:cs="Arial"/>
          <w:b/>
          <w:color w:val="000000"/>
          <w:szCs w:val="20"/>
          <w:highlight w:val="white"/>
        </w:rPr>
        <w:t>ESTIMATIVA DE PREÇOS E PREÇOS REFERENCIAIS.</w:t>
      </w:r>
    </w:p>
    <w:p w:rsidR="009F69A6" w:rsidRDefault="00874083">
      <w:pPr>
        <w:numPr>
          <w:ilvl w:val="1"/>
          <w:numId w:val="2"/>
        </w:numPr>
        <w:tabs>
          <w:tab w:val="left" w:pos="851"/>
        </w:tabs>
        <w:spacing w:before="120" w:after="120" w:line="276" w:lineRule="auto"/>
        <w:jc w:val="both"/>
        <w:rPr>
          <w:highlight w:val="white"/>
        </w:rPr>
      </w:pPr>
      <w:r>
        <w:rPr>
          <w:highlight w:val="white"/>
        </w:rPr>
        <w:t>O custo estimado da contratação é o previsto no valor médio unitário.</w:t>
      </w:r>
    </w:p>
    <w:p w:rsidR="009F69A6" w:rsidRDefault="00874083">
      <w:pPr>
        <w:numPr>
          <w:ilvl w:val="1"/>
          <w:numId w:val="2"/>
        </w:numPr>
        <w:tabs>
          <w:tab w:val="left" w:pos="851"/>
        </w:tabs>
        <w:spacing w:before="120" w:after="120" w:line="276" w:lineRule="auto"/>
        <w:jc w:val="both"/>
        <w:rPr>
          <w:highlight w:val="white"/>
        </w:rPr>
      </w:pPr>
      <w:r>
        <w:rPr>
          <w:highlight w:val="white"/>
        </w:rPr>
        <w:t>Tal valor foi obtido a partir de pesquisa no painel de preços, por meio de 3 (três) orçamentos, descritos no ANEXO II.</w:t>
      </w:r>
    </w:p>
    <w:p w:rsidR="009F69A6" w:rsidRDefault="00874083">
      <w:pPr>
        <w:keepNext/>
        <w:keepLines/>
        <w:numPr>
          <w:ilvl w:val="0"/>
          <w:numId w:val="1"/>
        </w:numPr>
        <w:pBdr>
          <w:top w:val="nil"/>
          <w:left w:val="nil"/>
          <w:bottom w:val="nil"/>
          <w:right w:val="nil"/>
          <w:between w:val="nil"/>
        </w:pBdr>
        <w:spacing w:before="120" w:after="120" w:line="276" w:lineRule="auto"/>
        <w:ind w:right="-30"/>
        <w:jc w:val="both"/>
        <w:rPr>
          <w:rFonts w:cs="Arial"/>
          <w:b/>
          <w:color w:val="000000"/>
          <w:szCs w:val="20"/>
          <w:highlight w:val="white"/>
        </w:rPr>
      </w:pPr>
      <w:r>
        <w:rPr>
          <w:rFonts w:cs="Arial"/>
          <w:b/>
          <w:color w:val="000000"/>
          <w:szCs w:val="20"/>
          <w:highlight w:val="white"/>
        </w:rPr>
        <w:t>DOS RECURSOS ORÇAMENTÁRIOS.</w:t>
      </w:r>
    </w:p>
    <w:p w:rsidR="009F69A6" w:rsidRDefault="00874083">
      <w:pPr>
        <w:numPr>
          <w:ilvl w:val="1"/>
          <w:numId w:val="1"/>
        </w:numPr>
        <w:pBdr>
          <w:top w:val="nil"/>
          <w:left w:val="nil"/>
          <w:bottom w:val="nil"/>
          <w:right w:val="nil"/>
          <w:between w:val="nil"/>
        </w:pBdr>
        <w:spacing w:before="120" w:after="120" w:line="276" w:lineRule="auto"/>
        <w:ind w:right="-30"/>
        <w:jc w:val="both"/>
        <w:rPr>
          <w:rFonts w:cs="Arial"/>
          <w:b/>
          <w:color w:val="000000"/>
          <w:szCs w:val="20"/>
          <w:highlight w:val="white"/>
        </w:rPr>
      </w:pPr>
      <w:r>
        <w:rPr>
          <w:rFonts w:cs="Arial"/>
          <w:color w:val="000000"/>
          <w:szCs w:val="20"/>
          <w:highlight w:val="white"/>
        </w:rPr>
        <w:t>Os recursos para aquisição são oriundos da Universidade Federal de Juiz de Fora.</w:t>
      </w:r>
    </w:p>
    <w:p w:rsidR="009F69A6" w:rsidRDefault="009F69A6">
      <w:pPr>
        <w:spacing w:before="120" w:after="120" w:line="276" w:lineRule="auto"/>
        <w:ind w:left="425"/>
        <w:jc w:val="both"/>
        <w:rPr>
          <w:i/>
          <w:highlight w:val="white"/>
        </w:rPr>
      </w:pPr>
    </w:p>
    <w:p w:rsidR="009F69A6" w:rsidRDefault="00874083">
      <w:pPr>
        <w:spacing w:after="360"/>
        <w:ind w:left="360"/>
        <w:jc w:val="center"/>
        <w:rPr>
          <w:highlight w:val="white"/>
        </w:rPr>
      </w:pPr>
      <w:r>
        <w:rPr>
          <w:highlight w:val="white"/>
        </w:rPr>
        <w:t xml:space="preserve">Governador Valadares, </w:t>
      </w:r>
      <w:proofErr w:type="spellStart"/>
      <w:r>
        <w:rPr>
          <w:highlight w:val="white"/>
        </w:rPr>
        <w:t>xx</w:t>
      </w:r>
      <w:proofErr w:type="spellEnd"/>
      <w:r>
        <w:rPr>
          <w:highlight w:val="white"/>
        </w:rPr>
        <w:t xml:space="preserve"> de agosto de 2019. </w:t>
      </w:r>
    </w:p>
    <w:p w:rsidR="009F69A6" w:rsidRDefault="009F69A6">
      <w:pPr>
        <w:spacing w:after="360"/>
        <w:ind w:left="360"/>
        <w:jc w:val="center"/>
        <w:rPr>
          <w:highlight w:val="white"/>
        </w:rPr>
      </w:pPr>
    </w:p>
    <w:p w:rsidR="009F69A6" w:rsidRDefault="00874083">
      <w:pPr>
        <w:ind w:left="360"/>
        <w:jc w:val="center"/>
        <w:rPr>
          <w:highlight w:val="white"/>
        </w:rPr>
      </w:pPr>
      <w:r>
        <w:rPr>
          <w:highlight w:val="white"/>
        </w:rPr>
        <w:t>__________________________________</w:t>
      </w:r>
    </w:p>
    <w:p w:rsidR="009F69A6" w:rsidRDefault="00874083">
      <w:pPr>
        <w:ind w:left="360"/>
        <w:jc w:val="center"/>
        <w:rPr>
          <w:highlight w:val="white"/>
        </w:rPr>
      </w:pPr>
      <w:r>
        <w:rPr>
          <w:highlight w:val="white"/>
        </w:rPr>
        <w:t>Leandro de Morais Cardoso</w:t>
      </w:r>
    </w:p>
    <w:p w:rsidR="009F69A6" w:rsidRDefault="00874083">
      <w:pPr>
        <w:ind w:left="360"/>
        <w:jc w:val="center"/>
        <w:rPr>
          <w:highlight w:val="white"/>
        </w:rPr>
      </w:pPr>
      <w:r>
        <w:rPr>
          <w:highlight w:val="white"/>
        </w:rPr>
        <w:t>Chefe do Departamento de Nutrição</w:t>
      </w:r>
    </w:p>
    <w:p w:rsidR="009F69A6" w:rsidRDefault="009F69A6">
      <w:pPr>
        <w:rPr>
          <w:highlight w:val="white"/>
        </w:rPr>
      </w:pPr>
    </w:p>
    <w:p w:rsidR="009F69A6" w:rsidRDefault="009F69A6"/>
    <w:p w:rsidR="009F69A6" w:rsidRDefault="009F69A6"/>
    <w:p w:rsidR="009F69A6" w:rsidRDefault="009F69A6"/>
    <w:p w:rsidR="009F69A6" w:rsidRDefault="00874083">
      <w:pPr>
        <w:rPr>
          <w:highlight w:val="white"/>
        </w:rPr>
      </w:pPr>
      <w:r>
        <w:br/>
      </w:r>
      <w:r>
        <w:br/>
      </w:r>
      <w:r>
        <w:br/>
      </w:r>
      <w:r>
        <w:rPr>
          <w:highlight w:val="white"/>
        </w:rPr>
        <w:t>Anexo I - Quadro de detalhamento do objeto</w:t>
      </w:r>
    </w:p>
    <w:p w:rsidR="009F69A6" w:rsidRDefault="009F69A6">
      <w:pPr>
        <w:rPr>
          <w:highlight w:val="green"/>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5"/>
        <w:gridCol w:w="1820"/>
        <w:gridCol w:w="1327"/>
        <w:gridCol w:w="787"/>
        <w:gridCol w:w="1017"/>
        <w:gridCol w:w="1164"/>
        <w:gridCol w:w="1239"/>
        <w:gridCol w:w="1142"/>
      </w:tblGrid>
      <w:tr w:rsidR="00446EAD" w:rsidTr="007745E3">
        <w:tc>
          <w:tcPr>
            <w:tcW w:w="312" w:type="pct"/>
          </w:tcPr>
          <w:p w:rsidR="00446EAD" w:rsidRDefault="00446EAD">
            <w:pPr>
              <w:widowControl w:val="0"/>
              <w:jc w:val="center"/>
              <w:rPr>
                <w:b/>
                <w:sz w:val="14"/>
                <w:szCs w:val="14"/>
              </w:rPr>
            </w:pPr>
            <w:r>
              <w:rPr>
                <w:b/>
                <w:sz w:val="14"/>
                <w:szCs w:val="14"/>
              </w:rPr>
              <w:t>ITEM</w:t>
            </w:r>
          </w:p>
          <w:p w:rsidR="00446EAD" w:rsidRDefault="00446EAD">
            <w:pPr>
              <w:widowControl w:val="0"/>
              <w:jc w:val="center"/>
              <w:rPr>
                <w:b/>
                <w:sz w:val="14"/>
                <w:szCs w:val="14"/>
              </w:rPr>
            </w:pPr>
          </w:p>
        </w:tc>
        <w:tc>
          <w:tcPr>
            <w:tcW w:w="1004" w:type="pct"/>
          </w:tcPr>
          <w:p w:rsidR="00446EAD" w:rsidRDefault="00446EAD">
            <w:pPr>
              <w:jc w:val="center"/>
              <w:rPr>
                <w:b/>
                <w:sz w:val="14"/>
                <w:szCs w:val="14"/>
              </w:rPr>
            </w:pPr>
            <w:r>
              <w:rPr>
                <w:b/>
                <w:sz w:val="14"/>
                <w:szCs w:val="14"/>
              </w:rPr>
              <w:t>DESCRIÇÃO/</w:t>
            </w:r>
          </w:p>
          <w:p w:rsidR="00446EAD" w:rsidRDefault="00446EAD">
            <w:pPr>
              <w:widowControl w:val="0"/>
              <w:jc w:val="center"/>
              <w:rPr>
                <w:sz w:val="14"/>
                <w:szCs w:val="14"/>
              </w:rPr>
            </w:pPr>
            <w:r>
              <w:rPr>
                <w:b/>
                <w:sz w:val="14"/>
                <w:szCs w:val="14"/>
              </w:rPr>
              <w:t>ESPECIFICAÇÃO</w:t>
            </w:r>
          </w:p>
        </w:tc>
        <w:tc>
          <w:tcPr>
            <w:tcW w:w="732" w:type="pct"/>
          </w:tcPr>
          <w:p w:rsidR="00446EAD" w:rsidRDefault="00446EAD">
            <w:pPr>
              <w:widowControl w:val="0"/>
              <w:jc w:val="center"/>
              <w:rPr>
                <w:sz w:val="14"/>
                <w:szCs w:val="14"/>
              </w:rPr>
            </w:pPr>
            <w:r>
              <w:rPr>
                <w:b/>
                <w:sz w:val="14"/>
                <w:szCs w:val="14"/>
              </w:rPr>
              <w:t>IDENTIFICAÇÃO CATMAT</w:t>
            </w:r>
          </w:p>
        </w:tc>
        <w:tc>
          <w:tcPr>
            <w:tcW w:w="434" w:type="pct"/>
          </w:tcPr>
          <w:p w:rsidR="00446EAD" w:rsidRDefault="00446EAD">
            <w:pPr>
              <w:widowControl w:val="0"/>
              <w:jc w:val="center"/>
              <w:rPr>
                <w:b/>
                <w:sz w:val="14"/>
                <w:szCs w:val="14"/>
              </w:rPr>
            </w:pPr>
            <w:r>
              <w:rPr>
                <w:b/>
                <w:sz w:val="14"/>
                <w:szCs w:val="14"/>
              </w:rPr>
              <w:t>ID</w:t>
            </w:r>
          </w:p>
        </w:tc>
        <w:tc>
          <w:tcPr>
            <w:tcW w:w="562" w:type="pct"/>
          </w:tcPr>
          <w:p w:rsidR="00446EAD" w:rsidRDefault="00446EAD">
            <w:pPr>
              <w:widowControl w:val="0"/>
              <w:jc w:val="center"/>
              <w:rPr>
                <w:sz w:val="14"/>
                <w:szCs w:val="14"/>
              </w:rPr>
            </w:pPr>
            <w:r>
              <w:rPr>
                <w:b/>
                <w:sz w:val="14"/>
                <w:szCs w:val="14"/>
              </w:rPr>
              <w:t>UNIDADE DE MEDIDA</w:t>
            </w:r>
          </w:p>
        </w:tc>
        <w:tc>
          <w:tcPr>
            <w:tcW w:w="642" w:type="pct"/>
          </w:tcPr>
          <w:p w:rsidR="00446EAD" w:rsidRDefault="00446EAD">
            <w:pPr>
              <w:widowControl w:val="0"/>
              <w:jc w:val="center"/>
              <w:rPr>
                <w:sz w:val="14"/>
                <w:szCs w:val="14"/>
              </w:rPr>
            </w:pPr>
            <w:r>
              <w:rPr>
                <w:b/>
                <w:sz w:val="14"/>
                <w:szCs w:val="14"/>
              </w:rPr>
              <w:t>QUANTIDADE</w:t>
            </w:r>
          </w:p>
        </w:tc>
        <w:tc>
          <w:tcPr>
            <w:tcW w:w="684" w:type="pct"/>
          </w:tcPr>
          <w:p w:rsidR="00446EAD" w:rsidRDefault="00446EAD">
            <w:pPr>
              <w:widowControl w:val="0"/>
              <w:jc w:val="center"/>
              <w:rPr>
                <w:b/>
                <w:i/>
                <w:sz w:val="14"/>
                <w:szCs w:val="14"/>
              </w:rPr>
            </w:pPr>
            <w:r w:rsidRPr="00446EAD">
              <w:rPr>
                <w:b/>
                <w:i/>
                <w:color w:val="FF0000"/>
                <w:sz w:val="14"/>
                <w:szCs w:val="14"/>
              </w:rPr>
              <w:t>VALOR UNITÁRIO DE REFERÊNCIA</w:t>
            </w:r>
          </w:p>
        </w:tc>
        <w:tc>
          <w:tcPr>
            <w:tcW w:w="630" w:type="pct"/>
          </w:tcPr>
          <w:p w:rsidR="00446EAD" w:rsidRDefault="00446EAD">
            <w:pPr>
              <w:widowControl w:val="0"/>
              <w:jc w:val="center"/>
              <w:rPr>
                <w:b/>
                <w:i/>
                <w:sz w:val="14"/>
                <w:szCs w:val="14"/>
              </w:rPr>
            </w:pPr>
            <w:r>
              <w:rPr>
                <w:b/>
                <w:i/>
                <w:sz w:val="14"/>
                <w:szCs w:val="14"/>
              </w:rPr>
              <w:t xml:space="preserve">VALOR </w:t>
            </w:r>
            <w:r w:rsidRPr="00446EAD">
              <w:rPr>
                <w:b/>
                <w:i/>
                <w:color w:val="FF0000"/>
                <w:sz w:val="14"/>
                <w:szCs w:val="14"/>
              </w:rPr>
              <w:t xml:space="preserve">TOTAL DE </w:t>
            </w:r>
            <w:r>
              <w:rPr>
                <w:b/>
                <w:i/>
                <w:sz w:val="14"/>
                <w:szCs w:val="14"/>
              </w:rPr>
              <w:t>REFERÊNCIA</w:t>
            </w:r>
          </w:p>
        </w:tc>
      </w:tr>
      <w:tr w:rsidR="00446EAD" w:rsidTr="007745E3">
        <w:tc>
          <w:tcPr>
            <w:tcW w:w="312" w:type="pct"/>
          </w:tcPr>
          <w:p w:rsidR="00446EAD" w:rsidRDefault="00446EAD">
            <w:pPr>
              <w:widowControl w:val="0"/>
              <w:spacing w:after="120" w:line="276" w:lineRule="auto"/>
              <w:jc w:val="center"/>
              <w:rPr>
                <w:b/>
              </w:rPr>
            </w:pPr>
            <w:r>
              <w:rPr>
                <w:b/>
              </w:rPr>
              <w:t>1</w:t>
            </w:r>
          </w:p>
        </w:tc>
        <w:tc>
          <w:tcPr>
            <w:tcW w:w="1004" w:type="pct"/>
          </w:tcPr>
          <w:p w:rsidR="00446EAD" w:rsidRDefault="00446EAD">
            <w:pPr>
              <w:widowControl w:val="0"/>
              <w:spacing w:after="120" w:line="276" w:lineRule="auto"/>
            </w:pPr>
            <w:r>
              <w:t xml:space="preserve">AVENTAL CIRÚRGICO, NÃO TECIDO, ÚNICO, MANGA LONGA, </w:t>
            </w:r>
            <w:r>
              <w:lastRenderedPageBreak/>
              <w:t xml:space="preserve">PUNHOS EM POLIÉSTER, REPELENTE À </w:t>
            </w:r>
            <w:proofErr w:type="gramStart"/>
            <w:r>
              <w:t>FLUÍDOS,EXTRA</w:t>
            </w:r>
            <w:proofErr w:type="gramEnd"/>
            <w:r>
              <w:t xml:space="preserve"> PROTEÇÃO BRAÇOS E TÓRAX, 110 CM, DESCARTÁVEL, ESTÉRIL</w:t>
            </w:r>
          </w:p>
        </w:tc>
        <w:tc>
          <w:tcPr>
            <w:tcW w:w="732" w:type="pct"/>
          </w:tcPr>
          <w:p w:rsidR="00446EAD" w:rsidRDefault="00446EAD">
            <w:pPr>
              <w:widowControl w:val="0"/>
              <w:spacing w:after="120" w:line="276" w:lineRule="auto"/>
            </w:pPr>
            <w:r>
              <w:lastRenderedPageBreak/>
              <w:t>150435</w:t>
            </w:r>
          </w:p>
        </w:tc>
        <w:tc>
          <w:tcPr>
            <w:tcW w:w="434" w:type="pct"/>
          </w:tcPr>
          <w:p w:rsidR="00446EAD" w:rsidRDefault="00446EAD">
            <w:pPr>
              <w:widowControl w:val="0"/>
              <w:spacing w:after="120" w:line="276" w:lineRule="auto"/>
            </w:pPr>
            <w:r>
              <w:t>60329</w:t>
            </w:r>
          </w:p>
        </w:tc>
        <w:tc>
          <w:tcPr>
            <w:tcW w:w="562" w:type="pct"/>
          </w:tcPr>
          <w:p w:rsidR="00446EAD" w:rsidRDefault="00446EAD">
            <w:pPr>
              <w:widowControl w:val="0"/>
              <w:spacing w:after="120" w:line="276" w:lineRule="auto"/>
            </w:pPr>
            <w:r>
              <w:t>UN</w:t>
            </w:r>
          </w:p>
        </w:tc>
        <w:tc>
          <w:tcPr>
            <w:tcW w:w="642" w:type="pct"/>
          </w:tcPr>
          <w:p w:rsidR="00446EAD" w:rsidRDefault="00446EAD">
            <w:pPr>
              <w:widowControl w:val="0"/>
              <w:spacing w:after="120" w:line="276" w:lineRule="auto"/>
            </w:pPr>
            <w:r>
              <w:t>20</w:t>
            </w:r>
          </w:p>
        </w:tc>
        <w:tc>
          <w:tcPr>
            <w:tcW w:w="684" w:type="pct"/>
          </w:tcPr>
          <w:p w:rsidR="00446EAD" w:rsidRDefault="00E4223C">
            <w:pPr>
              <w:widowControl w:val="0"/>
              <w:spacing w:after="120" w:line="276" w:lineRule="auto"/>
            </w:pPr>
            <w:r>
              <w:t>50,00</w:t>
            </w:r>
          </w:p>
        </w:tc>
        <w:tc>
          <w:tcPr>
            <w:tcW w:w="630" w:type="pct"/>
          </w:tcPr>
          <w:p w:rsidR="00446EAD" w:rsidRDefault="00E4223C">
            <w:pPr>
              <w:widowControl w:val="0"/>
              <w:spacing w:after="120" w:line="276" w:lineRule="auto"/>
            </w:pPr>
            <w:r>
              <w:t>1000,00</w:t>
            </w:r>
          </w:p>
        </w:tc>
      </w:tr>
      <w:tr w:rsidR="00446EAD" w:rsidTr="007745E3">
        <w:tc>
          <w:tcPr>
            <w:tcW w:w="312" w:type="pct"/>
          </w:tcPr>
          <w:p w:rsidR="00446EAD" w:rsidRDefault="00446EAD">
            <w:pPr>
              <w:widowControl w:val="0"/>
              <w:spacing w:after="120" w:line="276" w:lineRule="auto"/>
              <w:jc w:val="center"/>
              <w:rPr>
                <w:b/>
              </w:rPr>
            </w:pPr>
            <w:r>
              <w:rPr>
                <w:b/>
              </w:rPr>
              <w:lastRenderedPageBreak/>
              <w:t>2</w:t>
            </w:r>
          </w:p>
        </w:tc>
        <w:tc>
          <w:tcPr>
            <w:tcW w:w="1004" w:type="pct"/>
          </w:tcPr>
          <w:p w:rsidR="00446EAD" w:rsidRDefault="00446EAD">
            <w:pPr>
              <w:widowControl w:val="0"/>
              <w:spacing w:after="120" w:line="276" w:lineRule="auto"/>
            </w:pPr>
          </w:p>
        </w:tc>
        <w:tc>
          <w:tcPr>
            <w:tcW w:w="732" w:type="pct"/>
          </w:tcPr>
          <w:p w:rsidR="00446EAD" w:rsidRDefault="00446EAD">
            <w:pPr>
              <w:widowControl w:val="0"/>
              <w:spacing w:after="120" w:line="276" w:lineRule="auto"/>
            </w:pPr>
          </w:p>
        </w:tc>
        <w:tc>
          <w:tcPr>
            <w:tcW w:w="434" w:type="pct"/>
          </w:tcPr>
          <w:p w:rsidR="00446EAD" w:rsidRDefault="00446EAD">
            <w:pPr>
              <w:widowControl w:val="0"/>
              <w:spacing w:after="120" w:line="276" w:lineRule="auto"/>
            </w:pPr>
          </w:p>
        </w:tc>
        <w:tc>
          <w:tcPr>
            <w:tcW w:w="562" w:type="pct"/>
          </w:tcPr>
          <w:p w:rsidR="00446EAD" w:rsidRDefault="00446EAD">
            <w:pPr>
              <w:widowControl w:val="0"/>
              <w:spacing w:after="120" w:line="276" w:lineRule="auto"/>
            </w:pPr>
          </w:p>
        </w:tc>
        <w:tc>
          <w:tcPr>
            <w:tcW w:w="642" w:type="pct"/>
          </w:tcPr>
          <w:p w:rsidR="00446EAD" w:rsidRDefault="00446EAD">
            <w:pPr>
              <w:widowControl w:val="0"/>
              <w:spacing w:after="120" w:line="276" w:lineRule="auto"/>
            </w:pPr>
          </w:p>
        </w:tc>
        <w:tc>
          <w:tcPr>
            <w:tcW w:w="684" w:type="pct"/>
          </w:tcPr>
          <w:p w:rsidR="00446EAD" w:rsidRDefault="00446EAD">
            <w:pPr>
              <w:widowControl w:val="0"/>
              <w:spacing w:after="120" w:line="276" w:lineRule="auto"/>
            </w:pPr>
          </w:p>
        </w:tc>
        <w:tc>
          <w:tcPr>
            <w:tcW w:w="630" w:type="pct"/>
          </w:tcPr>
          <w:p w:rsidR="00446EAD" w:rsidRDefault="00446EAD">
            <w:pPr>
              <w:widowControl w:val="0"/>
              <w:spacing w:after="120" w:line="276" w:lineRule="auto"/>
            </w:pPr>
          </w:p>
        </w:tc>
      </w:tr>
      <w:tr w:rsidR="007745E3" w:rsidTr="007745E3">
        <w:tc>
          <w:tcPr>
            <w:tcW w:w="4370" w:type="pct"/>
            <w:gridSpan w:val="7"/>
            <w:shd w:val="clear" w:color="auto" w:fill="DBE5F1" w:themeFill="accent1" w:themeFillTint="33"/>
          </w:tcPr>
          <w:p w:rsidR="007745E3" w:rsidRDefault="007745E3" w:rsidP="007745E3">
            <w:pPr>
              <w:widowControl w:val="0"/>
              <w:spacing w:after="120" w:line="276" w:lineRule="auto"/>
              <w:jc w:val="center"/>
            </w:pPr>
            <w:r w:rsidRPr="007745E3">
              <w:rPr>
                <w:color w:val="FF0000"/>
              </w:rPr>
              <w:t>VALOR TOTAL</w:t>
            </w:r>
          </w:p>
        </w:tc>
        <w:tc>
          <w:tcPr>
            <w:tcW w:w="630" w:type="pct"/>
            <w:shd w:val="clear" w:color="auto" w:fill="DBE5F1" w:themeFill="accent1" w:themeFillTint="33"/>
          </w:tcPr>
          <w:p w:rsidR="007745E3" w:rsidRDefault="007745E3">
            <w:pPr>
              <w:widowControl w:val="0"/>
              <w:spacing w:after="120" w:line="276" w:lineRule="auto"/>
            </w:pPr>
            <w:bookmarkStart w:id="0" w:name="_GoBack"/>
            <w:r w:rsidRPr="007745E3">
              <w:rPr>
                <w:color w:val="FF0000"/>
              </w:rPr>
              <w:t>1000,00</w:t>
            </w:r>
            <w:bookmarkEnd w:id="0"/>
          </w:p>
        </w:tc>
      </w:tr>
    </w:tbl>
    <w:p w:rsidR="009F69A6" w:rsidRDefault="009F69A6">
      <w:pPr>
        <w:ind w:firstLine="708"/>
        <w:rPr>
          <w:highlight w:val="green"/>
        </w:rPr>
      </w:pPr>
    </w:p>
    <w:p w:rsidR="009F69A6" w:rsidRDefault="009F69A6">
      <w:pPr>
        <w:rPr>
          <w:highlight w:val="green"/>
        </w:rPr>
      </w:pPr>
    </w:p>
    <w:p w:rsidR="009F69A6" w:rsidRDefault="00874083">
      <w:r>
        <w:t xml:space="preserve">Anexo II - </w:t>
      </w:r>
      <w:proofErr w:type="spellStart"/>
      <w:r>
        <w:t>EStimativa</w:t>
      </w:r>
      <w:proofErr w:type="spellEnd"/>
      <w:r>
        <w:t xml:space="preserve"> de consumo</w:t>
      </w:r>
    </w:p>
    <w:tbl>
      <w:tblPr>
        <w:tblStyle w:val="a1"/>
        <w:tblW w:w="92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
        <w:gridCol w:w="735"/>
        <w:gridCol w:w="3234"/>
        <w:gridCol w:w="927"/>
        <w:gridCol w:w="1200"/>
        <w:gridCol w:w="2485"/>
      </w:tblGrid>
      <w:tr w:rsidR="009F69A6">
        <w:trPr>
          <w:trHeight w:val="243"/>
        </w:trPr>
        <w:tc>
          <w:tcPr>
            <w:tcW w:w="637" w:type="dxa"/>
            <w:shd w:val="clear" w:color="auto" w:fill="F2F2F2"/>
            <w:tcMar>
              <w:top w:w="0" w:type="dxa"/>
              <w:left w:w="70" w:type="dxa"/>
              <w:bottom w:w="0" w:type="dxa"/>
              <w:right w:w="70" w:type="dxa"/>
            </w:tcMar>
            <w:vAlign w:val="center"/>
          </w:tcPr>
          <w:p w:rsidR="009F69A6" w:rsidRDefault="00874083">
            <w:pPr>
              <w:jc w:val="center"/>
              <w:rPr>
                <w:b/>
                <w:sz w:val="16"/>
                <w:szCs w:val="16"/>
              </w:rPr>
            </w:pPr>
            <w:r>
              <w:rPr>
                <w:b/>
                <w:sz w:val="16"/>
                <w:szCs w:val="16"/>
              </w:rPr>
              <w:t>ITEM</w:t>
            </w:r>
          </w:p>
        </w:tc>
        <w:tc>
          <w:tcPr>
            <w:tcW w:w="735" w:type="dxa"/>
            <w:shd w:val="clear" w:color="auto" w:fill="F2F2F2"/>
            <w:tcMar>
              <w:top w:w="0" w:type="dxa"/>
              <w:left w:w="70" w:type="dxa"/>
              <w:bottom w:w="0" w:type="dxa"/>
              <w:right w:w="70" w:type="dxa"/>
            </w:tcMar>
            <w:vAlign w:val="center"/>
          </w:tcPr>
          <w:p w:rsidR="009F69A6" w:rsidRDefault="00874083">
            <w:pPr>
              <w:jc w:val="center"/>
              <w:rPr>
                <w:b/>
                <w:sz w:val="16"/>
                <w:szCs w:val="16"/>
              </w:rPr>
            </w:pPr>
            <w:r>
              <w:rPr>
                <w:b/>
                <w:sz w:val="16"/>
                <w:szCs w:val="16"/>
              </w:rPr>
              <w:t>ID</w:t>
            </w:r>
          </w:p>
        </w:tc>
        <w:tc>
          <w:tcPr>
            <w:tcW w:w="3234" w:type="dxa"/>
            <w:shd w:val="clear" w:color="auto" w:fill="F2F2F2"/>
            <w:vAlign w:val="center"/>
          </w:tcPr>
          <w:p w:rsidR="009F69A6" w:rsidRDefault="00874083">
            <w:pPr>
              <w:jc w:val="center"/>
              <w:rPr>
                <w:b/>
                <w:sz w:val="16"/>
                <w:szCs w:val="16"/>
              </w:rPr>
            </w:pPr>
            <w:r>
              <w:rPr>
                <w:b/>
                <w:sz w:val="16"/>
                <w:szCs w:val="16"/>
              </w:rPr>
              <w:t>DESCRIÇÃO DETALHADA</w:t>
            </w:r>
          </w:p>
        </w:tc>
        <w:tc>
          <w:tcPr>
            <w:tcW w:w="927" w:type="dxa"/>
            <w:shd w:val="clear" w:color="auto" w:fill="F2F2F2"/>
            <w:tcMar>
              <w:top w:w="0" w:type="dxa"/>
              <w:left w:w="70" w:type="dxa"/>
              <w:bottom w:w="0" w:type="dxa"/>
              <w:right w:w="70" w:type="dxa"/>
            </w:tcMar>
            <w:vAlign w:val="center"/>
          </w:tcPr>
          <w:p w:rsidR="009F69A6" w:rsidRDefault="00874083">
            <w:pPr>
              <w:jc w:val="center"/>
              <w:rPr>
                <w:b/>
                <w:sz w:val="16"/>
                <w:szCs w:val="16"/>
              </w:rPr>
            </w:pPr>
            <w:r>
              <w:rPr>
                <w:b/>
                <w:sz w:val="16"/>
                <w:szCs w:val="16"/>
              </w:rPr>
              <w:t>VALOR MÉDIO UNITARIO (R$)</w:t>
            </w:r>
          </w:p>
        </w:tc>
        <w:tc>
          <w:tcPr>
            <w:tcW w:w="1200" w:type="dxa"/>
            <w:shd w:val="clear" w:color="auto" w:fill="F2F2F2"/>
            <w:tcMar>
              <w:top w:w="0" w:type="dxa"/>
              <w:left w:w="70" w:type="dxa"/>
              <w:bottom w:w="0" w:type="dxa"/>
              <w:right w:w="70" w:type="dxa"/>
            </w:tcMar>
            <w:vAlign w:val="center"/>
          </w:tcPr>
          <w:p w:rsidR="009F69A6" w:rsidRDefault="00874083">
            <w:pPr>
              <w:jc w:val="center"/>
              <w:rPr>
                <w:b/>
                <w:sz w:val="16"/>
                <w:szCs w:val="16"/>
              </w:rPr>
            </w:pPr>
            <w:r>
              <w:rPr>
                <w:b/>
                <w:sz w:val="16"/>
                <w:szCs w:val="16"/>
              </w:rPr>
              <w:t>ORÇAMENTO (R$)</w:t>
            </w:r>
          </w:p>
        </w:tc>
        <w:tc>
          <w:tcPr>
            <w:tcW w:w="2485" w:type="dxa"/>
            <w:shd w:val="clear" w:color="auto" w:fill="F2F2F2"/>
            <w:tcMar>
              <w:top w:w="0" w:type="dxa"/>
              <w:left w:w="70" w:type="dxa"/>
              <w:bottom w:w="0" w:type="dxa"/>
              <w:right w:w="70" w:type="dxa"/>
            </w:tcMar>
            <w:vAlign w:val="center"/>
          </w:tcPr>
          <w:p w:rsidR="009F69A6" w:rsidRDefault="00874083">
            <w:pPr>
              <w:jc w:val="center"/>
              <w:rPr>
                <w:b/>
                <w:sz w:val="16"/>
                <w:szCs w:val="16"/>
              </w:rPr>
            </w:pPr>
            <w:r>
              <w:rPr>
                <w:b/>
                <w:sz w:val="16"/>
                <w:szCs w:val="16"/>
              </w:rPr>
              <w:t>EMPRESA</w:t>
            </w:r>
          </w:p>
        </w:tc>
      </w:tr>
      <w:tr w:rsidR="009F69A6">
        <w:trPr>
          <w:trHeight w:val="370"/>
        </w:trPr>
        <w:tc>
          <w:tcPr>
            <w:tcW w:w="637" w:type="dxa"/>
            <w:vMerge w:val="restart"/>
            <w:tcMar>
              <w:top w:w="0" w:type="dxa"/>
              <w:left w:w="70" w:type="dxa"/>
              <w:bottom w:w="0" w:type="dxa"/>
              <w:right w:w="70" w:type="dxa"/>
            </w:tcMar>
            <w:vAlign w:val="center"/>
          </w:tcPr>
          <w:p w:rsidR="009F69A6" w:rsidRDefault="00874083">
            <w:pPr>
              <w:jc w:val="center"/>
            </w:pPr>
            <w:r>
              <w:t>1</w:t>
            </w:r>
          </w:p>
        </w:tc>
        <w:tc>
          <w:tcPr>
            <w:tcW w:w="735" w:type="dxa"/>
            <w:vMerge w:val="restart"/>
            <w:tcMar>
              <w:top w:w="0" w:type="dxa"/>
              <w:left w:w="70" w:type="dxa"/>
              <w:bottom w:w="0" w:type="dxa"/>
              <w:right w:w="70" w:type="dxa"/>
            </w:tcMar>
            <w:vAlign w:val="center"/>
          </w:tcPr>
          <w:p w:rsidR="009F69A6" w:rsidRDefault="00874083">
            <w:pPr>
              <w:jc w:val="center"/>
            </w:pPr>
            <w:r>
              <w:t>60329</w:t>
            </w:r>
          </w:p>
        </w:tc>
        <w:tc>
          <w:tcPr>
            <w:tcW w:w="3234" w:type="dxa"/>
            <w:vMerge w:val="restart"/>
          </w:tcPr>
          <w:p w:rsidR="009F69A6" w:rsidRDefault="00874083">
            <w:pPr>
              <w:widowControl w:val="0"/>
              <w:spacing w:after="120" w:line="276" w:lineRule="auto"/>
            </w:pPr>
            <w:r>
              <w:t xml:space="preserve">AVENTAL CIRÚRGICO, NÃO TECIDO, ÚNICO, MANGA LONGA, PUNHOS EM POLIÉSTER, REPELENTE À </w:t>
            </w:r>
            <w:proofErr w:type="gramStart"/>
            <w:r>
              <w:t>FLUÍDOS,EXTRA</w:t>
            </w:r>
            <w:proofErr w:type="gramEnd"/>
            <w:r>
              <w:t xml:space="preserve"> PROTEÇÃO BRAÇOS E TÓRAX, 110 CM, DESCARTÁVEL, ESTÉRIL</w:t>
            </w:r>
          </w:p>
        </w:tc>
        <w:tc>
          <w:tcPr>
            <w:tcW w:w="927" w:type="dxa"/>
            <w:vMerge w:val="restart"/>
            <w:tcMar>
              <w:top w:w="0" w:type="dxa"/>
              <w:left w:w="70" w:type="dxa"/>
              <w:bottom w:w="0" w:type="dxa"/>
              <w:right w:w="70" w:type="dxa"/>
            </w:tcMar>
            <w:vAlign w:val="center"/>
          </w:tcPr>
          <w:p w:rsidR="009F69A6" w:rsidRDefault="00874083">
            <w:pPr>
              <w:jc w:val="center"/>
              <w:rPr>
                <w:sz w:val="16"/>
                <w:szCs w:val="16"/>
                <w:highlight w:val="green"/>
              </w:rPr>
            </w:pPr>
            <w:r>
              <w:rPr>
                <w:sz w:val="16"/>
                <w:szCs w:val="16"/>
                <w:highlight w:val="green"/>
              </w:rPr>
              <w:t>2.010,25</w:t>
            </w:r>
          </w:p>
        </w:tc>
        <w:tc>
          <w:tcPr>
            <w:tcW w:w="1200" w:type="dxa"/>
            <w:tcMar>
              <w:top w:w="0" w:type="dxa"/>
              <w:left w:w="70" w:type="dxa"/>
              <w:bottom w:w="0" w:type="dxa"/>
              <w:right w:w="70" w:type="dxa"/>
            </w:tcMar>
            <w:vAlign w:val="center"/>
          </w:tcPr>
          <w:p w:rsidR="009F69A6" w:rsidRDefault="00874083">
            <w:pPr>
              <w:jc w:val="center"/>
              <w:rPr>
                <w:sz w:val="16"/>
                <w:szCs w:val="16"/>
                <w:highlight w:val="green"/>
              </w:rPr>
            </w:pPr>
            <w:r>
              <w:rPr>
                <w:sz w:val="16"/>
                <w:szCs w:val="16"/>
                <w:highlight w:val="green"/>
              </w:rPr>
              <w:t>1.970,00</w:t>
            </w:r>
          </w:p>
        </w:tc>
        <w:tc>
          <w:tcPr>
            <w:tcW w:w="2485" w:type="dxa"/>
          </w:tcPr>
          <w:p w:rsidR="009F69A6" w:rsidRDefault="00874083">
            <w:pPr>
              <w:jc w:val="both"/>
              <w:rPr>
                <w:sz w:val="16"/>
                <w:szCs w:val="16"/>
                <w:highlight w:val="green"/>
              </w:rPr>
            </w:pPr>
            <w:r>
              <w:rPr>
                <w:sz w:val="16"/>
                <w:szCs w:val="16"/>
                <w:highlight w:val="green"/>
              </w:rPr>
              <w:t>Pregão: 00025/2018; Item: 00047; UASG: 154618 - IF BAIANO - CAMPUS GOVERNADOR MANGABEIRA</w:t>
            </w:r>
          </w:p>
        </w:tc>
      </w:tr>
      <w:tr w:rsidR="009F69A6">
        <w:trPr>
          <w:trHeight w:val="370"/>
        </w:trPr>
        <w:tc>
          <w:tcPr>
            <w:tcW w:w="637"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735"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3234" w:type="dxa"/>
            <w:vMerge/>
          </w:tcPr>
          <w:p w:rsidR="009F69A6" w:rsidRDefault="009F69A6">
            <w:pPr>
              <w:widowControl w:val="0"/>
              <w:rPr>
                <w:sz w:val="16"/>
                <w:szCs w:val="16"/>
              </w:rPr>
            </w:pPr>
          </w:p>
        </w:tc>
        <w:tc>
          <w:tcPr>
            <w:tcW w:w="927"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1200" w:type="dxa"/>
            <w:tcMar>
              <w:top w:w="0" w:type="dxa"/>
              <w:left w:w="70" w:type="dxa"/>
              <w:bottom w:w="0" w:type="dxa"/>
              <w:right w:w="70" w:type="dxa"/>
            </w:tcMar>
            <w:vAlign w:val="center"/>
          </w:tcPr>
          <w:p w:rsidR="009F69A6" w:rsidRDefault="00874083">
            <w:pPr>
              <w:jc w:val="center"/>
              <w:rPr>
                <w:sz w:val="16"/>
                <w:szCs w:val="16"/>
                <w:highlight w:val="green"/>
              </w:rPr>
            </w:pPr>
            <w:r>
              <w:rPr>
                <w:sz w:val="16"/>
                <w:szCs w:val="16"/>
                <w:highlight w:val="green"/>
              </w:rPr>
              <w:t>1.995,76</w:t>
            </w:r>
          </w:p>
        </w:tc>
        <w:tc>
          <w:tcPr>
            <w:tcW w:w="2485" w:type="dxa"/>
          </w:tcPr>
          <w:p w:rsidR="009F69A6" w:rsidRDefault="00874083">
            <w:pPr>
              <w:rPr>
                <w:sz w:val="16"/>
                <w:szCs w:val="16"/>
                <w:highlight w:val="green"/>
              </w:rPr>
            </w:pPr>
            <w:r>
              <w:rPr>
                <w:sz w:val="16"/>
                <w:szCs w:val="16"/>
                <w:highlight w:val="green"/>
              </w:rPr>
              <w:t>Pregão: 00094/2019; Item: 00016; UASG: 120633 - GRUPAMENTO DE APOIO DE SÃO PAULO</w:t>
            </w:r>
          </w:p>
        </w:tc>
      </w:tr>
      <w:tr w:rsidR="009F69A6">
        <w:trPr>
          <w:trHeight w:val="370"/>
        </w:trPr>
        <w:tc>
          <w:tcPr>
            <w:tcW w:w="637"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735"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3234" w:type="dxa"/>
            <w:vMerge/>
          </w:tcPr>
          <w:p w:rsidR="009F69A6" w:rsidRDefault="009F69A6">
            <w:pPr>
              <w:widowControl w:val="0"/>
              <w:rPr>
                <w:sz w:val="16"/>
                <w:szCs w:val="16"/>
              </w:rPr>
            </w:pPr>
          </w:p>
        </w:tc>
        <w:tc>
          <w:tcPr>
            <w:tcW w:w="927" w:type="dxa"/>
            <w:vMerge/>
            <w:tcMar>
              <w:top w:w="0" w:type="dxa"/>
              <w:left w:w="70" w:type="dxa"/>
              <w:bottom w:w="0" w:type="dxa"/>
              <w:right w:w="70" w:type="dxa"/>
            </w:tcMar>
            <w:vAlign w:val="center"/>
          </w:tcPr>
          <w:p w:rsidR="009F69A6" w:rsidRDefault="009F69A6">
            <w:pPr>
              <w:widowControl w:val="0"/>
              <w:spacing w:line="276" w:lineRule="auto"/>
              <w:rPr>
                <w:sz w:val="16"/>
                <w:szCs w:val="16"/>
              </w:rPr>
            </w:pPr>
          </w:p>
        </w:tc>
        <w:tc>
          <w:tcPr>
            <w:tcW w:w="1200" w:type="dxa"/>
            <w:tcMar>
              <w:top w:w="0" w:type="dxa"/>
              <w:left w:w="70" w:type="dxa"/>
              <w:bottom w:w="0" w:type="dxa"/>
              <w:right w:w="70" w:type="dxa"/>
            </w:tcMar>
            <w:vAlign w:val="center"/>
          </w:tcPr>
          <w:p w:rsidR="009F69A6" w:rsidRDefault="00874083">
            <w:pPr>
              <w:jc w:val="center"/>
              <w:rPr>
                <w:sz w:val="16"/>
                <w:szCs w:val="16"/>
                <w:highlight w:val="green"/>
              </w:rPr>
            </w:pPr>
            <w:r>
              <w:rPr>
                <w:sz w:val="16"/>
                <w:szCs w:val="16"/>
                <w:highlight w:val="green"/>
              </w:rPr>
              <w:t>2.065,00</w:t>
            </w:r>
          </w:p>
        </w:tc>
        <w:tc>
          <w:tcPr>
            <w:tcW w:w="2485" w:type="dxa"/>
          </w:tcPr>
          <w:p w:rsidR="009F69A6" w:rsidRDefault="00874083">
            <w:pPr>
              <w:rPr>
                <w:sz w:val="16"/>
                <w:szCs w:val="16"/>
                <w:highlight w:val="green"/>
              </w:rPr>
            </w:pPr>
            <w:r>
              <w:rPr>
                <w:sz w:val="16"/>
                <w:szCs w:val="16"/>
                <w:highlight w:val="green"/>
              </w:rPr>
              <w:t>Pregão: 00016/2019; Item: 00001; UASG: 160100 - COM.DA 3A BDA DE INFANTARIA MOTORIZADA_MEX/GO</w:t>
            </w:r>
          </w:p>
        </w:tc>
      </w:tr>
      <w:tr w:rsidR="009F69A6">
        <w:trPr>
          <w:trHeight w:val="370"/>
        </w:trPr>
        <w:tc>
          <w:tcPr>
            <w:tcW w:w="637" w:type="dxa"/>
            <w:tcMar>
              <w:top w:w="0" w:type="dxa"/>
              <w:left w:w="70" w:type="dxa"/>
              <w:bottom w:w="0" w:type="dxa"/>
              <w:right w:w="70" w:type="dxa"/>
            </w:tcMar>
            <w:vAlign w:val="center"/>
          </w:tcPr>
          <w:p w:rsidR="009F69A6" w:rsidRDefault="00874083">
            <w:pPr>
              <w:jc w:val="center"/>
            </w:pPr>
            <w:r>
              <w:t>2</w:t>
            </w:r>
          </w:p>
        </w:tc>
        <w:tc>
          <w:tcPr>
            <w:tcW w:w="735" w:type="dxa"/>
            <w:tcMar>
              <w:top w:w="0" w:type="dxa"/>
              <w:left w:w="70" w:type="dxa"/>
              <w:bottom w:w="0" w:type="dxa"/>
              <w:right w:w="70" w:type="dxa"/>
            </w:tcMar>
            <w:vAlign w:val="center"/>
          </w:tcPr>
          <w:p w:rsidR="009F69A6" w:rsidRDefault="009F69A6">
            <w:pPr>
              <w:jc w:val="center"/>
            </w:pPr>
          </w:p>
        </w:tc>
        <w:tc>
          <w:tcPr>
            <w:tcW w:w="3234" w:type="dxa"/>
          </w:tcPr>
          <w:p w:rsidR="009F69A6" w:rsidRDefault="009F69A6">
            <w:pPr>
              <w:widowControl w:val="0"/>
              <w:spacing w:after="120" w:line="276" w:lineRule="auto"/>
            </w:pPr>
          </w:p>
        </w:tc>
        <w:tc>
          <w:tcPr>
            <w:tcW w:w="927" w:type="dxa"/>
            <w:tcMar>
              <w:top w:w="0" w:type="dxa"/>
              <w:left w:w="70" w:type="dxa"/>
              <w:bottom w:w="0" w:type="dxa"/>
              <w:right w:w="70" w:type="dxa"/>
            </w:tcMar>
            <w:vAlign w:val="center"/>
          </w:tcPr>
          <w:p w:rsidR="009F69A6" w:rsidRDefault="009F69A6">
            <w:pPr>
              <w:jc w:val="center"/>
              <w:rPr>
                <w:sz w:val="16"/>
                <w:szCs w:val="16"/>
                <w:highlight w:val="green"/>
              </w:rPr>
            </w:pPr>
          </w:p>
        </w:tc>
        <w:tc>
          <w:tcPr>
            <w:tcW w:w="1200" w:type="dxa"/>
            <w:tcMar>
              <w:top w:w="0" w:type="dxa"/>
              <w:left w:w="70" w:type="dxa"/>
              <w:bottom w:w="0" w:type="dxa"/>
              <w:right w:w="70" w:type="dxa"/>
            </w:tcMar>
            <w:vAlign w:val="center"/>
          </w:tcPr>
          <w:p w:rsidR="009F69A6" w:rsidRDefault="009F69A6">
            <w:pPr>
              <w:jc w:val="center"/>
              <w:rPr>
                <w:sz w:val="16"/>
                <w:szCs w:val="16"/>
                <w:highlight w:val="green"/>
              </w:rPr>
            </w:pPr>
          </w:p>
        </w:tc>
        <w:tc>
          <w:tcPr>
            <w:tcW w:w="2485" w:type="dxa"/>
          </w:tcPr>
          <w:p w:rsidR="009F69A6" w:rsidRDefault="009F69A6">
            <w:pPr>
              <w:jc w:val="both"/>
              <w:rPr>
                <w:sz w:val="16"/>
                <w:szCs w:val="16"/>
                <w:highlight w:val="green"/>
              </w:rPr>
            </w:pPr>
          </w:p>
        </w:tc>
      </w:tr>
    </w:tbl>
    <w:p w:rsidR="009F69A6" w:rsidRDefault="009F69A6"/>
    <w:p w:rsidR="009F69A6" w:rsidRDefault="009F69A6">
      <w:pPr>
        <w:rPr>
          <w:highlight w:val="green"/>
        </w:rPr>
      </w:pPr>
    </w:p>
    <w:p w:rsidR="009F69A6" w:rsidRDefault="009F69A6">
      <w:pPr>
        <w:rPr>
          <w:highlight w:val="green"/>
        </w:rPr>
      </w:pPr>
    </w:p>
    <w:p w:rsidR="009F69A6" w:rsidRDefault="00874083">
      <w:pPr>
        <w:rPr>
          <w:highlight w:val="green"/>
        </w:rPr>
      </w:pPr>
      <w:r>
        <w:br w:type="page"/>
      </w:r>
    </w:p>
    <w:p w:rsidR="009F69A6" w:rsidRDefault="00874083">
      <w:r>
        <w:lastRenderedPageBreak/>
        <w:t>Anexo III - Estudo técnico preliminar</w:t>
      </w:r>
    </w:p>
    <w:sectPr w:rsidR="009F69A6">
      <w:footerReference w:type="default" r:id="rId9"/>
      <w:pgSz w:w="11906" w:h="16838"/>
      <w:pgMar w:top="1418" w:right="1134"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193" w:rsidRDefault="009C4193">
      <w:r>
        <w:separator/>
      </w:r>
    </w:p>
  </w:endnote>
  <w:endnote w:type="continuationSeparator" w:id="0">
    <w:p w:rsidR="009C4193" w:rsidRDefault="009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9A6" w:rsidRDefault="00874083">
    <w:pPr>
      <w:pBdr>
        <w:top w:val="nil"/>
        <w:left w:val="nil"/>
        <w:bottom w:val="nil"/>
        <w:right w:val="nil"/>
        <w:between w:val="nil"/>
      </w:pBdr>
      <w:tabs>
        <w:tab w:val="center" w:pos="4252"/>
        <w:tab w:val="right" w:pos="8504"/>
      </w:tabs>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____________________________________________________________________</w:t>
    </w:r>
  </w:p>
  <w:p w:rsidR="009F69A6" w:rsidRDefault="00874083">
    <w:pPr>
      <w:pBdr>
        <w:top w:val="nil"/>
        <w:left w:val="nil"/>
        <w:bottom w:val="nil"/>
        <w:right w:val="nil"/>
        <w:between w:val="nil"/>
      </w:pBdr>
      <w:tabs>
        <w:tab w:val="center" w:pos="4252"/>
        <w:tab w:val="right" w:pos="8504"/>
      </w:tabs>
      <w:rPr>
        <w:rFonts w:cs="Arial"/>
        <w:color w:val="000000"/>
        <w:sz w:val="12"/>
        <w:szCs w:val="12"/>
      </w:rPr>
    </w:pPr>
    <w:r>
      <w:rPr>
        <w:rFonts w:cs="Arial"/>
        <w:color w:val="000000"/>
        <w:sz w:val="12"/>
        <w:szCs w:val="12"/>
      </w:rPr>
      <w:t>Câmara Nacional de Modelos de Licitações e Contratos da Consultoria-Geral da União</w:t>
    </w:r>
  </w:p>
  <w:p w:rsidR="009F69A6" w:rsidRDefault="00874083">
    <w:pPr>
      <w:pBdr>
        <w:top w:val="nil"/>
        <w:left w:val="nil"/>
        <w:bottom w:val="nil"/>
        <w:right w:val="nil"/>
        <w:between w:val="nil"/>
      </w:pBdr>
      <w:tabs>
        <w:tab w:val="center" w:pos="4252"/>
        <w:tab w:val="right" w:pos="8504"/>
      </w:tabs>
      <w:rPr>
        <w:rFonts w:cs="Arial"/>
        <w:color w:val="000000"/>
        <w:sz w:val="12"/>
        <w:szCs w:val="12"/>
      </w:rPr>
    </w:pPr>
    <w:r>
      <w:rPr>
        <w:rFonts w:cs="Arial"/>
        <w:color w:val="000000"/>
        <w:sz w:val="12"/>
        <w:szCs w:val="12"/>
      </w:rPr>
      <w:t>Termo de Referência - Modelo para Pregão Eletrônico – Compras</w:t>
    </w:r>
  </w:p>
  <w:p w:rsidR="009F69A6" w:rsidRDefault="00874083">
    <w:pPr>
      <w:pBdr>
        <w:top w:val="nil"/>
        <w:left w:val="nil"/>
        <w:bottom w:val="nil"/>
        <w:right w:val="nil"/>
        <w:between w:val="nil"/>
      </w:pBdr>
      <w:tabs>
        <w:tab w:val="center" w:pos="4252"/>
        <w:tab w:val="right" w:pos="8504"/>
      </w:tabs>
      <w:rPr>
        <w:rFonts w:cs="Arial"/>
        <w:color w:val="000000"/>
        <w:szCs w:val="20"/>
      </w:rPr>
    </w:pPr>
    <w:r>
      <w:rPr>
        <w:rFonts w:cs="Arial"/>
        <w:color w:val="000000"/>
        <w:sz w:val="12"/>
        <w:szCs w:val="12"/>
      </w:rPr>
      <w:t>Atualização: Julho/2020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193" w:rsidRDefault="009C4193">
      <w:r>
        <w:separator/>
      </w:r>
    </w:p>
  </w:footnote>
  <w:footnote w:type="continuationSeparator" w:id="0">
    <w:p w:rsidR="009C4193" w:rsidRDefault="009C4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D0686"/>
    <w:multiLevelType w:val="multilevel"/>
    <w:tmpl w:val="F8160F12"/>
    <w:lvl w:ilvl="0">
      <w:start w:val="1"/>
      <w:numFmt w:val="decimal"/>
      <w:pStyle w:val="Nivel1"/>
      <w:lvlText w:val="%1."/>
      <w:lvlJc w:val="left"/>
      <w:pPr>
        <w:ind w:left="360" w:hanging="360"/>
      </w:pPr>
      <w:rPr>
        <w:b/>
        <w:color w:val="000000"/>
      </w:rPr>
    </w:lvl>
    <w:lvl w:ilvl="1">
      <w:start w:val="1"/>
      <w:numFmt w:val="decimal"/>
      <w:pStyle w:val="Nivel2"/>
      <w:lvlText w:val="%1.%2."/>
      <w:lvlJc w:val="left"/>
      <w:pPr>
        <w:ind w:left="716" w:hanging="432"/>
      </w:pPr>
      <w:rPr>
        <w:b w:val="0"/>
        <w:i w:val="0"/>
        <w:strike w:val="0"/>
        <w:color w:val="000000"/>
      </w:rPr>
    </w:lvl>
    <w:lvl w:ilvl="2">
      <w:start w:val="1"/>
      <w:numFmt w:val="decimal"/>
      <w:pStyle w:val="Nivel3"/>
      <w:lvlText w:val="%1.%2.%3."/>
      <w:lvlJc w:val="left"/>
      <w:pPr>
        <w:ind w:left="930" w:hanging="504"/>
      </w:pPr>
      <w:rPr>
        <w:b w:val="0"/>
        <w:i w:val="0"/>
        <w:color w:val="00000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8305CD"/>
    <w:multiLevelType w:val="multilevel"/>
    <w:tmpl w:val="825A315A"/>
    <w:lvl w:ilvl="0">
      <w:start w:val="14"/>
      <w:numFmt w:val="decimal"/>
      <w:pStyle w:val="Nivel10"/>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E95835"/>
    <w:multiLevelType w:val="multilevel"/>
    <w:tmpl w:val="6DBC5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5555405"/>
    <w:multiLevelType w:val="multilevel"/>
    <w:tmpl w:val="1BE6A07C"/>
    <w:lvl w:ilvl="0">
      <w:start w:val="1"/>
      <w:numFmt w:val="decimal"/>
      <w:lvlText w:val="%1."/>
      <w:lvlJc w:val="left"/>
      <w:pPr>
        <w:ind w:left="0" w:firstLine="0"/>
      </w:pPr>
      <w:rPr>
        <w:rFonts w:ascii="Times New Roman" w:eastAsia="Times New Roman" w:hAnsi="Times New Roman" w:cs="Times New Roman"/>
        <w:b/>
      </w:rPr>
    </w:lvl>
    <w:lvl w:ilvl="1">
      <w:start w:val="1"/>
      <w:numFmt w:val="decimal"/>
      <w:lvlText w:val="%1.%2."/>
      <w:lvlJc w:val="left"/>
      <w:pPr>
        <w:ind w:left="716" w:hanging="432"/>
      </w:pPr>
      <w:rPr>
        <w:b/>
        <w:i w:val="0"/>
        <w:color w:val="000000"/>
        <w:sz w:val="26"/>
        <w:szCs w:val="26"/>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6BD16E9C"/>
    <w:multiLevelType w:val="multilevel"/>
    <w:tmpl w:val="650A987E"/>
    <w:lvl w:ilvl="0">
      <w:start w:val="1"/>
      <w:numFmt w:val="decimal"/>
      <w:pStyle w:val="Commarcadore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A6"/>
    <w:rsid w:val="00446EAD"/>
    <w:rsid w:val="005941C7"/>
    <w:rsid w:val="007745E3"/>
    <w:rsid w:val="00874083"/>
    <w:rsid w:val="008B59EF"/>
    <w:rsid w:val="009C4193"/>
    <w:rsid w:val="009F69A6"/>
    <w:rsid w:val="00E422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E1B43-F97B-4731-9839-BFD50AE2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0">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0"/>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210B85"/>
    <w:pPr>
      <w:numPr>
        <w:ilvl w:val="0"/>
      </w:numPr>
      <w:tabs>
        <w:tab w:val="num" w:pos="360"/>
      </w:tabs>
      <w:ind w:left="644" w:hanging="432"/>
    </w:pPr>
    <w:rPr>
      <w:b/>
    </w:rPr>
  </w:style>
  <w:style w:type="paragraph" w:customStyle="1" w:styleId="Nivel3">
    <w:name w:val="Nivel 3"/>
    <w:basedOn w:val="Nivel2"/>
    <w:qFormat/>
    <w:rsid w:val="00210B85"/>
    <w:pPr>
      <w:numPr>
        <w:ilvl w:val="2"/>
      </w:numPr>
      <w:tabs>
        <w:tab w:val="num" w:pos="360"/>
      </w:tabs>
      <w:ind w:left="1922"/>
    </w:pPr>
    <w:rPr>
      <w:color w:val="000000"/>
    </w:rPr>
  </w:style>
  <w:style w:type="paragraph" w:customStyle="1" w:styleId="Nivel4">
    <w:name w:val="Nivel 4"/>
    <w:basedOn w:val="Nivel3"/>
    <w:qFormat/>
    <w:rsid w:val="00210B85"/>
    <w:pPr>
      <w:numPr>
        <w:ilvl w:val="3"/>
      </w:numPr>
      <w:tabs>
        <w:tab w:val="num" w:pos="360"/>
      </w:tabs>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scayt-misspell-word">
    <w:name w:val="scayt-misspell-word"/>
    <w:basedOn w:val="Fontepargpadro"/>
    <w:rsid w:val="00471331"/>
  </w:style>
  <w:style w:type="paragraph" w:customStyle="1" w:styleId="Standard">
    <w:name w:val="Standard"/>
    <w:rsid w:val="00770601"/>
    <w:pPr>
      <w:suppressAutoHyphens/>
      <w:autoSpaceDN w:val="0"/>
    </w:pPr>
    <w:rPr>
      <w:kern w:val="3"/>
      <w:sz w:val="24"/>
      <w:szCs w:val="24"/>
      <w:lang w:eastAsia="zh-CN"/>
    </w:rPr>
  </w:style>
  <w:style w:type="numbering" w:customStyle="1" w:styleId="WW8Num4">
    <w:name w:val="WW8Num4"/>
    <w:rsid w:val="00770601"/>
  </w:style>
  <w:style w:type="numbering" w:customStyle="1" w:styleId="WW8Num3">
    <w:name w:val="WW8Num3"/>
    <w:rsid w:val="0077060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p26S7sJEGJNeFOoyE50AhVqIOg==">AMUW2mUSKQtXIeeMi3Yfk/VnLbQDt7tTnkbCNLBwT1PNtv8sNAMpoVWJ3/x6cZXyAH5zJFDO2Y9fo9TIWvcwxxwcYs5aCxZNpI/zolHpt4t8dBQkX0Jbej0=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2847</Words>
  <Characters>15379</Characters>
  <Application>Microsoft Office Word</Application>
  <DocSecurity>0</DocSecurity>
  <Lines>128</Lines>
  <Paragraphs>36</Paragraphs>
  <ScaleCrop>false</ScaleCrop>
  <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Chagas</cp:lastModifiedBy>
  <cp:revision>6</cp:revision>
  <dcterms:created xsi:type="dcterms:W3CDTF">2020-08-03T22:28:00Z</dcterms:created>
  <dcterms:modified xsi:type="dcterms:W3CDTF">2020-08-11T18:40:00Z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