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5322"/>
        <w:gridCol w:w="2835"/>
      </w:tblGrid>
      <w:tr>
        <w:trPr/>
        <w:tc>
          <w:tcPr>
            <w:tcW w:w="8612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80"/>
              <w:jc w:val="center"/>
              <w:rPr/>
            </w:pPr>
            <w:r>
              <w:rPr>
                <w:rFonts w:ascii="Times New Roman" w:hAnsi="Times New Roman"/>
                <w:b/>
              </w:rPr>
              <w:t>PLANO DE ENSINO -  DEP DIRGV</w:t>
            </w:r>
          </w:p>
        </w:tc>
      </w:tr>
      <w:tr>
        <w:trPr/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>NOME DA DISCIPLINA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Direito da Infância e Juventude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>CÓDIGO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DPR</w:t>
            </w:r>
          </w:p>
        </w:tc>
      </w:tr>
      <w:tr>
        <w:trPr>
          <w:trHeight w:val="1372" w:hRule="atLeast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b/>
                <w:bCs/>
                <w:sz w:val="22"/>
                <w:szCs w:val="22"/>
              </w:rPr>
              <w:t>EMENTA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>C</w:t>
            </w:r>
            <w:r>
              <w:rPr>
                <w:rFonts w:ascii="Serif" w:hAnsi="Serif"/>
                <w:sz w:val="22"/>
                <w:szCs w:val="22"/>
              </w:rPr>
              <w:t xml:space="preserve">riança, adolescente, </w:t>
            </w:r>
            <w:r>
              <w:rPr>
                <w:rFonts w:ascii="Serif" w:hAnsi="Serif"/>
                <w:sz w:val="22"/>
                <w:szCs w:val="22"/>
              </w:rPr>
              <w:t>juventude, família, comunidade, sociedade</w:t>
            </w:r>
            <w:r>
              <w:rPr>
                <w:rFonts w:ascii="Serif" w:hAnsi="Serif"/>
                <w:sz w:val="22"/>
                <w:szCs w:val="22"/>
              </w:rPr>
              <w:t xml:space="preserve">. História da proteção jurídica e social da criança e do adolescente no Brasil. Direito da Criança e do Adolescente: </w:t>
            </w:r>
            <w:r>
              <w:rPr>
                <w:rFonts w:ascii="Serif" w:hAnsi="Serif"/>
                <w:sz w:val="22"/>
                <w:szCs w:val="22"/>
              </w:rPr>
              <w:t>formação e desenvolvimento. Marco normativo internacional e nacional</w:t>
            </w:r>
            <w:r>
              <w:rPr>
                <w:rFonts w:ascii="Serif" w:hAnsi="Serif"/>
                <w:sz w:val="22"/>
                <w:szCs w:val="22"/>
              </w:rPr>
              <w:t xml:space="preserve">. O Estatuto da Criança e do Adolescente </w:t>
            </w:r>
            <w:r>
              <w:rPr>
                <w:rFonts w:ascii="Serif" w:hAnsi="Serif"/>
                <w:sz w:val="22"/>
                <w:szCs w:val="22"/>
              </w:rPr>
              <w:t>(ECA)</w:t>
            </w:r>
            <w:r>
              <w:rPr>
                <w:rFonts w:ascii="Serif" w:hAnsi="Serif"/>
                <w:sz w:val="22"/>
                <w:szCs w:val="22"/>
              </w:rPr>
              <w:t xml:space="preserve">. </w:t>
            </w:r>
            <w:r>
              <w:rPr>
                <w:rFonts w:ascii="Serif" w:hAnsi="Serif"/>
                <w:sz w:val="22"/>
                <w:szCs w:val="22"/>
              </w:rPr>
              <w:t>Sistema Nacional de Medidas Sociooeducativas (SINASE)</w:t>
            </w:r>
            <w:r>
              <w:rPr>
                <w:rFonts w:ascii="Serif" w:hAnsi="Serif"/>
                <w:sz w:val="22"/>
                <w:szCs w:val="22"/>
              </w:rPr>
              <w:t xml:space="preserve">. </w:t>
            </w:r>
            <w:r>
              <w:rPr>
                <w:rFonts w:ascii="Serif" w:hAnsi="Serif"/>
                <w:sz w:val="22"/>
                <w:szCs w:val="22"/>
              </w:rPr>
              <w:t>Socioeducação.</w:t>
            </w:r>
            <w:r>
              <w:rPr>
                <w:rFonts w:ascii="Serif" w:hAnsi="Serif"/>
                <w:sz w:val="22"/>
                <w:szCs w:val="22"/>
              </w:rPr>
              <w:t xml:space="preserve"> A Justiça da Infância e da Juventude: </w:t>
            </w:r>
            <w:r>
              <w:rPr>
                <w:rFonts w:ascii="Serif" w:hAnsi="Serif"/>
                <w:sz w:val="22"/>
                <w:szCs w:val="22"/>
              </w:rPr>
              <w:t>teoria e prática</w:t>
            </w:r>
            <w:r>
              <w:rPr>
                <w:rFonts w:ascii="Serif" w:hAnsi="Serif"/>
                <w:sz w:val="22"/>
                <w:szCs w:val="22"/>
              </w:rPr>
              <w:t xml:space="preserve">. </w:t>
            </w:r>
            <w:r>
              <w:rPr>
                <w:rFonts w:ascii="Serif" w:hAnsi="Serif"/>
                <w:sz w:val="22"/>
                <w:szCs w:val="22"/>
              </w:rPr>
              <w:t>Tópicos Processuais. Políticas Públicas sobre Infância e Juventude. Temas Especiais.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</w:r>
          </w:p>
        </w:tc>
      </w:tr>
      <w:tr>
        <w:trPr/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eastAsia="Times New Roman" w:ascii="Serif" w:hAnsi="Serif"/>
                <w:b/>
                <w:bCs/>
                <w:sz w:val="22"/>
                <w:szCs w:val="22"/>
              </w:rPr>
              <w:t>PROGRAMA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>1. A questão da Infância no Brasil: Os tempos da Colônia e do Império.</w:t>
              <w:br/>
              <w:t>A questão da Infância na República. Institucionalização da Política de Atendimento à Infância e Juventude. O Serviço de Assistência ao menor-SAM. A Fundação Nacional do Bem-Estar do Menor – FUNABEM. 3.1. Análise da Política de Proteção a Infância e Adolescência a partir da Promulgação da Constituição Federal de 1998 e da Promulgação da Lei 8.069/90 E.C.A.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>2. Especialização do Direito da Infância e da Juventude: A doutrina da situação irregular. Definição. Sujeitos. Objeto. Fontes. Doutrina da Proteção Integral.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 xml:space="preserve">3.A infância e adolescência no contexto internacional - A Convenção Internacional dos Direitos da Criança e </w:t>
            </w:r>
            <w:r>
              <w:rPr>
                <w:rFonts w:ascii="Serif" w:hAnsi="Serif"/>
                <w:sz w:val="22"/>
                <w:szCs w:val="22"/>
              </w:rPr>
              <w:t>outros</w:t>
            </w:r>
            <w:r>
              <w:rPr>
                <w:rFonts w:ascii="Serif" w:hAnsi="Serif"/>
                <w:sz w:val="22"/>
                <w:szCs w:val="22"/>
              </w:rPr>
              <w:t xml:space="preserve"> documentos internacionais.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 xml:space="preserve">4.Estrutura geral do Estatuto da Criança e do Adolescente. </w:t>
            </w:r>
            <w:r>
              <w:rPr>
                <w:rFonts w:ascii="Serif" w:hAnsi="Serif"/>
                <w:sz w:val="22"/>
                <w:szCs w:val="22"/>
              </w:rPr>
              <w:t>Parte Geral</w:t>
            </w:r>
            <w:r>
              <w:rPr>
                <w:rFonts w:ascii="Serif" w:hAnsi="Serif"/>
                <w:sz w:val="22"/>
                <w:szCs w:val="22"/>
              </w:rPr>
              <w:t xml:space="preserve">. Os Direitos Fundamentais. Prevenção. </w:t>
            </w:r>
            <w:r>
              <w:rPr>
                <w:rFonts w:ascii="Serif" w:hAnsi="Serif"/>
                <w:sz w:val="22"/>
                <w:szCs w:val="22"/>
              </w:rPr>
              <w:t xml:space="preserve">Parte Especial - Política de Atendimento: Entidades de Atendimento. Medidas (Específicas) de Proteção. Prática do Ato Infracional. Medidas Socioeducativas. Medidas Pertinentes aos Pais ou Responsável.  Conselhos Tutelares. Acesso à Justiça. Crimes e Infrações Administrativas. 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 xml:space="preserve">5. Sistema Nacional de Atendimento Socioeducativo - </w:t>
            </w:r>
            <w:r>
              <w:rPr>
                <w:rFonts w:ascii="Serif" w:hAnsi="Serif"/>
                <w:sz w:val="22"/>
                <w:szCs w:val="22"/>
              </w:rPr>
              <w:t>SINASE (Lei n°12.594/2012).</w:t>
            </w:r>
            <w:r>
              <w:rPr>
                <w:rFonts w:ascii="Serif" w:hAnsi="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 xml:space="preserve">6. Tópicos Processuais no Direito da Infância e Juventude. </w:t>
            </w:r>
            <w:r>
              <w:rPr>
                <w:rFonts w:ascii="Serif" w:hAnsi="Serif"/>
                <w:sz w:val="22"/>
                <w:szCs w:val="22"/>
              </w:rPr>
              <w:t>Feitos de Competência da Justiça da Infância e da Juventude. Apuração do Ato Infracional. Roteiro do Processo de Conhecimento – Apuração do Ato Infraciona</w:t>
            </w:r>
            <w:r>
              <w:rPr>
                <w:rFonts w:ascii="Serif" w:hAnsi="Serif"/>
                <w:sz w:val="22"/>
                <w:szCs w:val="22"/>
              </w:rPr>
              <w:t xml:space="preserve">l. </w:t>
            </w:r>
            <w:r>
              <w:rPr>
                <w:rFonts w:ascii="Serif" w:hAnsi="Serif"/>
                <w:sz w:val="22"/>
                <w:szCs w:val="22"/>
              </w:rPr>
              <w:t xml:space="preserve">Roteiro do Processo de Execução. Explicação dos fluxos. Rotinas das Secretarias das Varas da Infância e da Juventude </w:t>
            </w:r>
          </w:p>
          <w:p>
            <w:pPr>
              <w:pStyle w:val="Normal"/>
              <w:spacing w:lineRule="auto" w:line="24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sz w:val="22"/>
                <w:szCs w:val="22"/>
              </w:rPr>
              <w:t>7.</w:t>
            </w:r>
            <w:r>
              <w:rPr>
                <w:rFonts w:ascii="Serif" w:hAnsi="Serif"/>
                <w:sz w:val="22"/>
                <w:szCs w:val="22"/>
              </w:rPr>
              <w:t xml:space="preserve"> </w:t>
            </w:r>
            <w:r>
              <w:rPr>
                <w:rFonts w:ascii="Serif" w:hAnsi="Serif"/>
                <w:sz w:val="22"/>
                <w:szCs w:val="22"/>
              </w:rPr>
              <w:t>Temas especiais: Vulnerabilidade e pauperização da infância e juventude; Educação e Socioeducação; Exploração sexual; Tráfico de crianças e adolescentes; Desaparecidos; Adoção (nacional e internacional); Migrantes; Trabalho infanto-juvenil; Violência e criminalidade: crianças e adolescentes testemunhas de crime, ameaçados de morte. Ações, projetos e programas de promoção, proteção e garantia de direitos da criança e do adolescente.</w:t>
            </w:r>
          </w:p>
        </w:tc>
      </w:tr>
      <w:tr>
        <w:trPr/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b/>
                <w:bCs/>
                <w:sz w:val="22"/>
                <w:szCs w:val="22"/>
              </w:rPr>
              <w:t>BIBLIOGRAFIA BÁSICA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ascii="Serif" w:hAnsi="Serif"/>
                <w:b w:val="false"/>
                <w:bCs w:val="false"/>
                <w:sz w:val="22"/>
                <w:szCs w:val="22"/>
              </w:rPr>
            </w:r>
          </w:p>
          <w:p>
            <w:pPr>
              <w:pStyle w:val="Ttulo1"/>
              <w:spacing w:lineRule="auto" w:line="240" w:before="0" w:after="0"/>
              <w:jc w:val="both"/>
              <w:rPr>
                <w:rFonts w:ascii="Serif" w:hAnsi="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ARAÚJO JÚNIOR,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Gediel Claudino Araujo Júnior. Prática no Estatuto da Criança e do Adolescente.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3ª Edição. São Paulo.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 Atlas: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2019.</w:t>
            </w:r>
          </w:p>
          <w:p>
            <w:pPr>
              <w:pStyle w:val="Ttulo1"/>
              <w:spacing w:lineRule="auto" w:line="240" w:before="0" w:after="0"/>
              <w:jc w:val="both"/>
              <w:rPr>
                <w:rFonts w:ascii="Serif" w:hAnsi="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ARIÈS, P. História social da infância e da família. Tradução: D. Flaksman. Rio de Janeiro: LCT, 19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81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. </w:t>
            </w:r>
          </w:p>
          <w:p>
            <w:pPr>
              <w:pStyle w:val="Ttulo1"/>
              <w:spacing w:lineRule="auto" w:line="240" w:before="0" w:after="0"/>
              <w:jc w:val="both"/>
              <w:rPr>
                <w:rFonts w:ascii="Serif" w:hAnsi="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DEL PRIORE, M. História da infância no Brasil. 4ª edição. São Paulo: Editora Contexto, 2004.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Serif" w:hAnsi="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FONSECA, Antônio Cezar Lima da. Direitos da criança e do adolescente. São Paulo: Atlas, 2011.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Serif" w:hAnsi="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ISHIDA, Válter Kenji. Estatuto da criança e do adolescente: doutrina e jurisprudência.</w:t>
            </w:r>
            <w:r>
              <w:rPr>
                <w:rFonts w:ascii="Serif" w:hAnsi="Serif"/>
                <w:b w:val="false"/>
                <w:bCs w:val="false"/>
                <w:sz w:val="22"/>
                <w:szCs w:val="22"/>
              </w:rPr>
              <w:t>20ª Edição Revista, ampliada e atualizada.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 São Paulo: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JusPodium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 201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9.</w:t>
            </w:r>
          </w:p>
          <w:p>
            <w:pPr>
              <w:pStyle w:val="Ttulo3"/>
              <w:spacing w:lineRule="auto" w:line="240" w:before="0" w:after="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M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>ACIEL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, Kátia Regina Ferreira Lobo Andrade. Curso De Direito da Criança e do Adolescente: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aspectos teóricos e práticos </w:t>
            </w:r>
            <w:r>
              <w:rPr>
                <w:rFonts w:eastAsia="Times New Roman" w:ascii="Serif" w:hAnsi="Serif"/>
                <w:b w:val="false"/>
                <w:bCs w:val="false"/>
                <w:sz w:val="22"/>
                <w:szCs w:val="22"/>
              </w:rPr>
              <w:t xml:space="preserve"> - 12ª Ed. 2019.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ascii="Serif" w:hAnsi="Serif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Serif" w:hAnsi="Serif"/>
                <w:sz w:val="22"/>
                <w:szCs w:val="22"/>
              </w:rPr>
            </w:pPr>
            <w:r>
              <w:rPr>
                <w:rFonts w:ascii="Serif" w:hAnsi="Serif"/>
                <w:b/>
                <w:bCs/>
                <w:sz w:val="22"/>
                <w:szCs w:val="22"/>
              </w:rPr>
              <w:t>BIBLIOGRAFIA COMPLEMENTAR</w:t>
            </w:r>
          </w:p>
          <w:p>
            <w:pPr>
              <w:pStyle w:val="Normal"/>
              <w:spacing w:lineRule="auto" w:line="240" w:before="0" w:after="0"/>
              <w:rPr>
                <w:rFonts w:ascii="Serif" w:hAnsi="Serif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Serif" w:hAnsi="Serif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BARROS, Guilherme Freire de Melo. Estatuto da criança e do adolescente. Salvador: JusPodium, 2010. </w:t>
            </w:r>
          </w:p>
          <w:p>
            <w:pPr>
              <w:pStyle w:val="Corpodotexto"/>
              <w:spacing w:lineRule="auto" w:line="240" w:before="0" w:after="0"/>
              <w:jc w:val="both"/>
              <w:rPr/>
            </w:pPr>
            <w:r>
              <w:rPr>
                <w:rFonts w:ascii="Serif" w:hAnsi="Serif"/>
                <w:color w:val="000000"/>
                <w:sz w:val="22"/>
                <w:szCs w:val="22"/>
              </w:rPr>
              <w:t xml:space="preserve">BRASIL. Constituição (1988). </w:t>
            </w:r>
            <w:r>
              <w:rPr>
                <w:rStyle w:val="Nfase"/>
                <w:rFonts w:ascii="Serif" w:hAnsi="Serif"/>
                <w:color w:val="000000"/>
                <w:sz w:val="22"/>
                <w:szCs w:val="22"/>
              </w:rPr>
              <w:t xml:space="preserve">Constituição da República Federativa do Brasil. </w:t>
            </w:r>
            <w:r>
              <w:rPr>
                <w:rFonts w:ascii="Serif" w:hAnsi="Serif"/>
                <w:color w:val="000000"/>
                <w:sz w:val="22"/>
                <w:szCs w:val="22"/>
              </w:rPr>
              <w:t>Brasília, DF: Senado, 1988.</w:t>
            </w:r>
          </w:p>
          <w:p>
            <w:pPr>
              <w:pStyle w:val="Corpodotexto"/>
              <w:spacing w:lineRule="auto" w:line="240" w:before="0" w:after="0"/>
              <w:jc w:val="both"/>
              <w:rPr/>
            </w:pPr>
            <w:r>
              <w:rPr>
                <w:rFonts w:ascii="Serif" w:hAnsi="Serif"/>
                <w:color w:val="000000"/>
                <w:sz w:val="22"/>
                <w:szCs w:val="22"/>
              </w:rPr>
              <w:t xml:space="preserve">__________. Lei federal nº 6.697/79, de 10 de outubro de 1979. Institui o Código de Menores. </w:t>
            </w:r>
            <w:r>
              <w:rPr>
                <w:rStyle w:val="Nfase"/>
                <w:rFonts w:ascii="Serif" w:hAnsi="Serif"/>
                <w:color w:val="000000"/>
                <w:sz w:val="22"/>
                <w:szCs w:val="22"/>
              </w:rPr>
              <w:t>Diário Oficial da República Federativa do Brasil</w:t>
            </w:r>
            <w:r>
              <w:rPr>
                <w:rFonts w:ascii="Serif" w:hAnsi="Serif"/>
                <w:color w:val="000000"/>
                <w:sz w:val="22"/>
                <w:szCs w:val="22"/>
              </w:rPr>
              <w:t xml:space="preserve">, Brasília, DF, 11 out. 1979. 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__________. Lei federal nº 8.069/90, de 13 de julho de 1990. Dispõe sobre o Estatuto da Criança e do Adolescente e dá outras providências. </w:t>
            </w:r>
            <w:r>
              <w:rPr>
                <w:rStyle w:val="Nfase"/>
                <w:rFonts w:eastAsia="Times New Roman" w:ascii="Serif" w:hAnsi="Serif"/>
                <w:color w:val="000000"/>
                <w:sz w:val="22"/>
                <w:szCs w:val="22"/>
              </w:rPr>
              <w:t>Diário Oficial da República Federativa do Brasil</w:t>
            </w: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>, Brasília, DF, 16 jul. 1990.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Serif" w:hAnsi="Serif" w:eastAsia="Times New Roman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_______. Lei nº 12.594, de 18 de janeiro de 2012. Institui o Sistema Nacional de Atendimento Socioeducativo -Sinase, regulamenta a execução da medida socioeducativa e altera algumas leis. Disponível em: http://www.planalto.gov.br/ccivil_03/_Ato2011-2014/2012/Lei/L12594.htm. Acesso em: </w:t>
            </w: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>04 de novembro de 2019</w:t>
            </w: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Serif" w:hAnsi="Serif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ELIAS, Roberto João. Direitos fundamentais da criança e do adolescente. São Paulo, 2005. </w:t>
            </w:r>
          </w:p>
          <w:p>
            <w:pPr>
              <w:pStyle w:val="Normal"/>
              <w:spacing w:lineRule="auto" w:line="240" w:before="0" w:after="0"/>
              <w:rPr>
                <w:rFonts w:ascii="Serif" w:hAnsi="Serif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ENGELS, F. A origem da família, da sociedade privada e do Estado. Tradução: Leandro Konder- 14ª ed. - Rio de Janeiro: Bertrand Brasil, 1997, 224p.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SANCHES, Helen Crystine Corrêa; VERONESE, Josiane Rosa Petry. Justiça da criança e do adolescent</w:t>
            </w:r>
            <w:r>
              <w:rPr>
                <w:rFonts w:eastAsia="Times New Roman" w:ascii="Serif" w:hAnsi="Serif"/>
                <w:b/>
                <w:bCs w:val="false"/>
                <w:color w:val="000000"/>
                <w:sz w:val="22"/>
                <w:szCs w:val="22"/>
              </w:rPr>
              <w:t xml:space="preserve">e </w:t>
            </w:r>
            <w:r>
              <w:rPr>
                <w:rStyle w:val="Nfase"/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: da vara de menores à vara da infância e juventude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 xml:space="preserve"> . Rio de Janeiro : Lumen Juris, 2016. 316 p. </w:t>
            </w:r>
          </w:p>
          <w:p>
            <w:pPr>
              <w:pStyle w:val="Normal"/>
              <w:spacing w:lineRule="auto" w:line="240" w:before="0" w:after="0"/>
              <w:rPr>
                <w:rFonts w:ascii="Serif" w:hAnsi="Serif"/>
                <w:color w:val="000000"/>
                <w:sz w:val="22"/>
                <w:szCs w:val="22"/>
              </w:rPr>
            </w:pP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AMIDOFF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, Mario Luiz. Sinase - Sistema Nacional de Atendimento Socioeducativo - 2ª Ed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ição. Saraiva:</w:t>
            </w:r>
            <w:r>
              <w:rPr>
                <w:rFonts w:eastAsia="Times New Roman" w:ascii="Serif" w:hAnsi="Serif"/>
                <w:b w:val="false"/>
                <w:bCs w:val="false"/>
                <w:color w:val="000000"/>
                <w:sz w:val="22"/>
                <w:szCs w:val="22"/>
              </w:rPr>
              <w:t>2017.</w:t>
            </w:r>
          </w:p>
          <w:p>
            <w:pPr>
              <w:pStyle w:val="Normal"/>
              <w:spacing w:lineRule="auto" w:line="240" w:before="0" w:after="0"/>
              <w:rPr>
                <w:rFonts w:ascii="Serif" w:hAnsi="Serif"/>
                <w:sz w:val="22"/>
                <w:szCs w:val="22"/>
              </w:rPr>
            </w:pPr>
            <w:r>
              <w:rPr>
                <w:rFonts w:eastAsia="Times New Roman" w:ascii="Serif" w:hAnsi="Serif"/>
                <w:color w:val="000000"/>
                <w:sz w:val="22"/>
                <w:szCs w:val="22"/>
              </w:rPr>
              <w:t xml:space="preserve">TAVARES, José de Farias. Comentários ao estatuto da criança e do adolescente. Rio de Janeiro: Forense, 2011. </w:t>
            </w:r>
          </w:p>
        </w:tc>
      </w:tr>
      <w:tr>
        <w:trPr>
          <w:trHeight w:val="316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>Às coordenações respectivas:</w:t>
            </w:r>
          </w:p>
        </w:tc>
      </w:tr>
      <w:tr>
        <w:trPr>
          <w:trHeight w:val="940" w:hRule="atLeast"/>
        </w:trPr>
        <w:tc>
          <w:tcPr>
            <w:tcW w:w="86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 xml:space="preserve">     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 xml:space="preserve">Aprovado em reunião de Departamento             Aprovado em reunião de </w:t>
            </w:r>
            <w:r>
              <w:rPr>
                <w:rFonts w:ascii="Times New Roman" w:hAnsi="Times New Roman"/>
              </w:rPr>
              <w:t>Colegiado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em      /        /                                                   em      /        / </w:t>
            </w:r>
          </w:p>
          <w:p>
            <w:pPr>
              <w:pStyle w:val="Normal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510" w:hanging="0"/>
              <w:jc w:val="both"/>
              <w:rPr/>
            </w:pPr>
            <w:r>
              <w:rPr>
                <w:rFonts w:ascii="Times New Roman" w:hAnsi="Times New Roman"/>
              </w:rPr>
              <w:t>Chef</w:t>
            </w:r>
            <w:r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 de Departamento                                             </w:t>
            </w:r>
            <w:r>
              <w:rPr>
                <w:rFonts w:ascii="Times New Roman" w:hAnsi="Times New Roman"/>
              </w:rPr>
              <w:t>Colegiado de Curso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51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>
            <w:pPr>
              <w:pStyle w:val="Normal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hanging="0"/>
              <w:jc w:val="both"/>
              <w:rPr>
                <w:rFonts w:ascii="Times New Roman" w:hAnsi="Times New Roman"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montSemiBold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320"/>
        <w:tab w:val="clear" w:pos="8640"/>
        <w:tab w:val="center" w:pos="4150" w:leader="none"/>
      </w:tabs>
      <w:ind w:left="-142" w:right="-64" w:hanging="0"/>
      <w:rPr>
        <w:rFonts w:ascii="Times New Roman" w:hAnsi="Times New Roman"/>
        <w:b/>
        <w:b/>
        <w:sz w:val="20"/>
        <w:szCs w:val="20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-113665</wp:posOffset>
          </wp:positionH>
          <wp:positionV relativeFrom="paragraph">
            <wp:posOffset>-106045</wp:posOffset>
          </wp:positionV>
          <wp:extent cx="939800" cy="614680"/>
          <wp:effectExtent l="0" t="0" r="0" b="0"/>
          <wp:wrapTight wrapText="bothSides">
            <wp:wrapPolygon edited="0">
              <wp:start x="-81" y="0"/>
              <wp:lineTo x="-81" y="20617"/>
              <wp:lineTo x="20942" y="20617"/>
              <wp:lineTo x="20942" y="0"/>
              <wp:lineTo x="-81" y="0"/>
            </wp:wrapPolygon>
          </wp:wrapTight>
          <wp:docPr id="1" name="Picture 2" descr="Description: logo ufjf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logo ufjf sem nom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               </w:t>
    </w:r>
    <w:r>
      <w:rPr>
        <w:rFonts w:ascii="Times New Roman" w:hAnsi="Times New Roman"/>
        <w:b/>
        <w:sz w:val="20"/>
        <w:szCs w:val="20"/>
      </w:rPr>
      <w:t>UNIVERSIDADE FEDERAL DE JUIZ DE FORA</w:t>
    </w:r>
  </w:p>
  <w:p>
    <w:pPr>
      <w:pStyle w:val="Cabealho"/>
      <w:tabs>
        <w:tab w:val="clear" w:pos="4320"/>
        <w:tab w:val="clear" w:pos="8640"/>
        <w:tab w:val="center" w:pos="4150" w:leader="none"/>
      </w:tabs>
      <w:jc w:val="center"/>
      <w:rPr>
        <w:rFonts w:ascii="Times New Roman" w:hAnsi="Times New Roman"/>
        <w:b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</w:t>
    </w:r>
    <w:r>
      <w:rPr>
        <w:rFonts w:ascii="Times New Roman" w:hAnsi="Times New Roman"/>
        <w:b/>
        <w:sz w:val="20"/>
        <w:szCs w:val="20"/>
      </w:rPr>
      <w:t>CAMPUS GOVERNADOR VALADARES</w:t>
    </w:r>
  </w:p>
  <w:p>
    <w:pPr>
      <w:pStyle w:val="Cabealho"/>
      <w:tabs>
        <w:tab w:val="clear" w:pos="4320"/>
        <w:tab w:val="clear" w:pos="8640"/>
        <w:tab w:val="center" w:pos="4150" w:leader="none"/>
      </w:tabs>
      <w:jc w:val="center"/>
      <w:rPr>
        <w:rFonts w:ascii="Times New Roman" w:hAnsi="Times New Roman"/>
        <w:b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</w:t>
    </w:r>
    <w:r>
      <w:rPr>
        <w:rFonts w:ascii="Times New Roman" w:hAnsi="Times New Roman"/>
        <w:b/>
        <w:sz w:val="20"/>
        <w:szCs w:val="20"/>
      </w:rPr>
      <w:t>DEPARTAMENTO DE DIREITO</w:t>
    </w:r>
  </w:p>
  <w:p>
    <w:pPr>
      <w:pStyle w:val="Cabealho"/>
      <w:tabs>
        <w:tab w:val="clear" w:pos="4320"/>
        <w:tab w:val="clear" w:pos="8640"/>
        <w:tab w:val="center" w:pos="4150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paragraph" w:styleId="Ttulo1">
    <w:name w:val="Heading 1"/>
    <w:basedOn w:val="Normal"/>
    <w:link w:val="Ttulo1Char"/>
    <w:uiPriority w:val="9"/>
    <w:qFormat/>
    <w:rsid w:val="00ec5f67"/>
    <w:pPr>
      <w:spacing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MS Gothic" w:cs="Tahoma"/>
      <w:b/>
      <w:bCs/>
      <w:sz w:val="36"/>
      <w:szCs w:val="36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MS Gothic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64e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64ec1"/>
    <w:rPr/>
  </w:style>
  <w:style w:type="character" w:styleId="Nfase">
    <w:name w:val="Ênfase"/>
    <w:basedOn w:val="DefaultParagraphFont"/>
    <w:uiPriority w:val="20"/>
    <w:qFormat/>
    <w:rsid w:val="00361ed3"/>
    <w:rPr>
      <w:i/>
      <w:iCs/>
    </w:rPr>
  </w:style>
  <w:style w:type="character" w:styleId="Labelbook" w:customStyle="1">
    <w:name w:val="label-book"/>
    <w:basedOn w:val="DefaultParagraphFont"/>
    <w:qFormat/>
    <w:rsid w:val="00931398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ec5f67"/>
    <w:rPr>
      <w:rFonts w:ascii="Times New Roman" w:hAnsi="Times New Roman" w:eastAsia="Times New Roman"/>
      <w:b/>
      <w:bCs/>
      <w:kern w:val="2"/>
      <w:sz w:val="48"/>
      <w:szCs w:val="48"/>
      <w:lang w:eastAsia="pt-BR"/>
    </w:rPr>
  </w:style>
  <w:style w:type="character" w:styleId="Asizelarge" w:customStyle="1">
    <w:name w:val="a-size-large"/>
    <w:basedOn w:val="DefaultParagraphFont"/>
    <w:qFormat/>
    <w:rsid w:val="00ec5f67"/>
    <w:rPr/>
  </w:style>
  <w:style w:type="character" w:styleId="Asizemedium" w:customStyle="1">
    <w:name w:val="a-size-medium"/>
    <w:basedOn w:val="DefaultParagraphFont"/>
    <w:qFormat/>
    <w:rsid w:val="00ec5f67"/>
    <w:rPr/>
  </w:style>
  <w:style w:type="character" w:styleId="Author" w:customStyle="1">
    <w:name w:val="author"/>
    <w:basedOn w:val="DefaultParagraphFont"/>
    <w:qFormat/>
    <w:rsid w:val="00ec5f67"/>
    <w:rPr/>
  </w:style>
  <w:style w:type="character" w:styleId="LinkdaInternet">
    <w:name w:val="Link da Internet"/>
    <w:basedOn w:val="DefaultParagraphFont"/>
    <w:uiPriority w:val="99"/>
    <w:semiHidden/>
    <w:unhideWhenUsed/>
    <w:rsid w:val="00ec5f67"/>
    <w:rPr>
      <w:color w:val="0000FF"/>
      <w:u w:val="single"/>
    </w:rPr>
  </w:style>
  <w:style w:type="character" w:styleId="Acolorsecondary" w:customStyle="1">
    <w:name w:val="a-color-secondary"/>
    <w:basedOn w:val="DefaultParagraphFont"/>
    <w:qFormat/>
    <w:rsid w:val="00ec5f67"/>
    <w:rPr/>
  </w:style>
  <w:style w:type="character" w:styleId="More" w:customStyle="1">
    <w:name w:val="more"/>
    <w:basedOn w:val="DefaultParagraphFont"/>
    <w:qFormat/>
    <w:rsid w:val="00ec5f67"/>
    <w:rPr/>
  </w:style>
  <w:style w:type="character" w:styleId="Morecount" w:customStyle="1">
    <w:name w:val="morecount"/>
    <w:basedOn w:val="DefaultParagraphFont"/>
    <w:qFormat/>
    <w:rsid w:val="00ec5f67"/>
    <w:rPr/>
  </w:style>
  <w:style w:type="character" w:styleId="ListLabel1">
    <w:name w:val="ListLabel 1"/>
    <w:qFormat/>
    <w:rPr>
      <w:rFonts w:ascii="montSemiBold" w:hAnsi="montSemiBold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lang w:eastAsia="pt-BR"/>
    </w:rPr>
  </w:style>
  <w:style w:type="character" w:styleId="ListLabel11">
    <w:name w:val="ListLabel 11"/>
    <w:qFormat/>
    <w:rPr>
      <w:rFonts w:ascii="Arial" w:hAnsi="Arial" w:cs="Arial"/>
      <w:color w:val="auto"/>
      <w:u w:val="none"/>
      <w:shd w:fill="FFFFFF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64ec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64ec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efault" w:customStyle="1">
    <w:name w:val="Default"/>
    <w:qFormat/>
    <w:rsid w:val="002d0d32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t-BR" w:bidi="ar-SA"/>
    </w:rPr>
  </w:style>
  <w:style w:type="paragraph" w:styleId="ListParagraph">
    <w:name w:val="List Paragraph"/>
    <w:basedOn w:val="Normal"/>
    <w:uiPriority w:val="72"/>
    <w:qFormat/>
    <w:rsid w:val="00776d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4e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7D79A-AA10-4D3D-BC9D-187EF2F4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LibreOffice/6.2.3.2$Windows_X86_64 LibreOffice_project/aecc05fe267cc68dde00352a451aa867b3b546ac</Application>
  <Pages>2</Pages>
  <Words>746</Words>
  <Characters>4381</Characters>
  <CharactersWithSpaces>5351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2019-11-04T18:36:00Z</dcterms:created>
  <dc:creator>Daniel Ribeiro</dc:creator>
  <dc:description/>
  <dc:language>pt-BR</dc:language>
  <cp:lastModifiedBy/>
  <cp:lastPrinted>2014-11-19T23:36:00Z</cp:lastPrinted>
  <dcterms:modified xsi:type="dcterms:W3CDTF">2019-11-04T20:19:45Z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