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92" w:rsidRDefault="00356A8B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0"/>
          <w:szCs w:val="20"/>
        </w:rPr>
        <w:t>PCD 125.611</w:t>
      </w:r>
    </w:p>
    <w:p w:rsidR="00A57492" w:rsidRDefault="00A57492"/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26"/>
        <w:gridCol w:w="8913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492" w:rsidRDefault="00356A8B">
            <w:r>
              <w:rPr>
                <w:b/>
                <w:bCs/>
                <w:noProof/>
                <w:sz w:val="16"/>
                <w:szCs w:val="16"/>
                <w:lang w:val="pt-BR"/>
              </w:rPr>
              <w:drawing>
                <wp:inline distT="0" distB="0" distL="0" distR="0">
                  <wp:extent cx="636366" cy="334328"/>
                  <wp:effectExtent l="0" t="0" r="0" b="0"/>
                  <wp:docPr id="1073741825" name="officeArt object" descr="ufj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ufjf.png" descr="ufj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366" cy="3343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492" w:rsidRDefault="00356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A57492" w:rsidRDefault="00356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A57492" w:rsidRDefault="00356A8B">
            <w:r>
              <w:rPr>
                <w:sz w:val="16"/>
                <w:szCs w:val="16"/>
              </w:rPr>
              <w:t>COORDENAÇÃO DE GRADUAÇÃO</w:t>
            </w:r>
          </w:p>
        </w:tc>
      </w:tr>
    </w:tbl>
    <w:p w:rsidR="00A57492" w:rsidRDefault="00A57492">
      <w:pPr>
        <w:widowControl w:val="0"/>
      </w:pPr>
    </w:p>
    <w:p w:rsidR="00A57492" w:rsidRDefault="00A57492">
      <w:pPr>
        <w:widowControl w:val="0"/>
        <w:jc w:val="center"/>
        <w:rPr>
          <w:b/>
          <w:bCs/>
          <w:sz w:val="8"/>
          <w:szCs w:val="8"/>
        </w:rPr>
      </w:pPr>
    </w:p>
    <w:p w:rsidR="00A57492" w:rsidRDefault="00356A8B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EDITAL DE SELEÇÃO DE MONITORIA (MO) / 2017</w:t>
      </w:r>
      <w:r>
        <w:rPr>
          <w:b/>
          <w:bCs/>
          <w:sz w:val="40"/>
          <w:szCs w:val="40"/>
        </w:rPr>
        <w:tab/>
      </w:r>
    </w:p>
    <w:p w:rsidR="00A57492" w:rsidRDefault="00A57492">
      <w:pPr>
        <w:widowControl w:val="0"/>
        <w:rPr>
          <w:b/>
          <w:bCs/>
          <w:sz w:val="12"/>
          <w:szCs w:val="12"/>
        </w:rPr>
      </w:pP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50"/>
        <w:gridCol w:w="8489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/>
        </w:trPr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r>
              <w:rPr>
                <w:b/>
                <w:bCs/>
              </w:rPr>
              <w:t>DISCIPLINAS: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r>
              <w:t>Decisão Judicial e Meios de Impugnação (DPF 048 Manhã e Noite)</w:t>
            </w:r>
          </w:p>
        </w:tc>
      </w:tr>
    </w:tbl>
    <w:p w:rsidR="00A57492" w:rsidRDefault="00A57492">
      <w:pPr>
        <w:widowControl w:val="0"/>
        <w:rPr>
          <w:b/>
          <w:bCs/>
          <w:sz w:val="12"/>
          <w:szCs w:val="12"/>
        </w:rPr>
      </w:pPr>
    </w:p>
    <w:p w:rsidR="00A57492" w:rsidRDefault="00A57492">
      <w:pPr>
        <w:widowControl w:val="0"/>
        <w:jc w:val="center"/>
        <w:rPr>
          <w:b/>
          <w:bCs/>
          <w:sz w:val="12"/>
          <w:szCs w:val="12"/>
        </w:rPr>
      </w:pPr>
    </w:p>
    <w:p w:rsidR="00A57492" w:rsidRDefault="00356A8B">
      <w:pPr>
        <w:widowControl w:val="0"/>
        <w:ind w:firstLine="720"/>
        <w:jc w:val="both"/>
      </w:pPr>
      <w:r>
        <w:t xml:space="preserve">O Departamento de </w:t>
      </w:r>
      <w:r>
        <w:rPr>
          <w:u w:val="single"/>
        </w:rPr>
        <w:t>Direito Público Formal e Ética Profissional</w:t>
      </w:r>
      <w:r>
        <w:t xml:space="preserve"> da Unidade </w:t>
      </w:r>
      <w:bookmarkStart w:id="0" w:name="Unidade"/>
      <w:r>
        <w:t>Faculdade de Direito</w:t>
      </w:r>
      <w:bookmarkEnd w:id="0"/>
      <w:r>
        <w:t xml:space="preserve"> faz público o processo de seleção para o Programa de Monitoria/</w:t>
      </w:r>
      <w:r>
        <w:rPr>
          <w:u w:val="single"/>
        </w:rPr>
        <w:t xml:space="preserve">2017 </w:t>
      </w:r>
      <w:r>
        <w:t xml:space="preserve">das disciplinas acima indicadas, para preenchimento de </w:t>
      </w:r>
      <w:r>
        <w:rPr>
          <w:u w:val="single"/>
        </w:rPr>
        <w:t xml:space="preserve">2 </w:t>
      </w:r>
      <w:r>
        <w:t xml:space="preserve">vagas para monitores bolsistas e de </w:t>
      </w:r>
      <w:r>
        <w:rPr>
          <w:u w:val="single"/>
        </w:rPr>
        <w:t>2</w:t>
      </w:r>
      <w:r>
        <w:t xml:space="preserve"> vagas para monitores voluntários, de acordo com as Resoluções 59/2009 e 27/2011 do Conselho Setorial de Graduação. </w:t>
      </w:r>
    </w:p>
    <w:p w:rsidR="00A57492" w:rsidRDefault="00A57492">
      <w:pPr>
        <w:widowControl w:val="0"/>
        <w:rPr>
          <w:sz w:val="12"/>
          <w:szCs w:val="12"/>
        </w:rPr>
      </w:pPr>
    </w:p>
    <w:p w:rsidR="00A57492" w:rsidRDefault="00356A8B">
      <w:pPr>
        <w:widowControl w:val="0"/>
        <w:jc w:val="both"/>
        <w:rPr>
          <w:u w:val="single"/>
        </w:rPr>
      </w:pPr>
      <w:r>
        <w:rPr>
          <w:b/>
          <w:bCs/>
          <w:u w:val="single"/>
        </w:rPr>
        <w:t xml:space="preserve">DURAÇÃO DO PROGRAMA / PAGAMENTO DE BOLSAS </w:t>
      </w:r>
    </w:p>
    <w:p w:rsidR="00A57492" w:rsidRDefault="00356A8B">
      <w:pPr>
        <w:widowControl w:val="0"/>
        <w:ind w:firstLine="720"/>
        <w:jc w:val="both"/>
      </w:pPr>
      <w:r>
        <w:t xml:space="preserve">O programa de Monitoria </w:t>
      </w:r>
      <w:r>
        <w:rPr>
          <w:u w:val="single"/>
        </w:rPr>
        <w:t>2017</w:t>
      </w:r>
      <w:r>
        <w:t xml:space="preserve"> terá a duração de um semestre letivo, sendo permitida a reconduçã</w:t>
      </w:r>
      <w:r>
        <w:t xml:space="preserve">o uma única vez, por igual período. O pagamento das bolsas de monitoria ocorrerá </w:t>
      </w:r>
      <w:r>
        <w:rPr>
          <w:b/>
          <w:bCs/>
        </w:rPr>
        <w:t>apenas nos meses coincidentes com os períodos de aula</w:t>
      </w:r>
      <w:r>
        <w:t>, conforme calendário acadêmico da Graduação. O pagamento de cada mês será proporcional à frequência apurada pelo professo</w:t>
      </w:r>
      <w:r>
        <w:t>r orientador e é efetuado até o vigésimo dia útil do mês seguinte.</w:t>
      </w:r>
    </w:p>
    <w:p w:rsidR="00A57492" w:rsidRDefault="00A57492">
      <w:pPr>
        <w:widowControl w:val="0"/>
        <w:jc w:val="both"/>
        <w:rPr>
          <w:b/>
          <w:bCs/>
          <w:sz w:val="12"/>
          <w:szCs w:val="12"/>
        </w:rPr>
      </w:pPr>
    </w:p>
    <w:p w:rsidR="00A57492" w:rsidRDefault="00356A8B">
      <w:pPr>
        <w:widowControl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INSCRIÇÃO</w:t>
      </w:r>
    </w:p>
    <w:p w:rsidR="00A57492" w:rsidRDefault="00356A8B">
      <w:pPr>
        <w:widowControl w:val="0"/>
        <w:ind w:firstLine="720"/>
      </w:pPr>
      <w:r>
        <w:t xml:space="preserve">Poderão inscrever-se os candidatos que atenderem aos seguintes critérios: </w:t>
      </w:r>
    </w:p>
    <w:p w:rsidR="00A57492" w:rsidRDefault="00356A8B">
      <w:pPr>
        <w:widowControl w:val="0"/>
      </w:pPr>
      <w:r>
        <w:t>1 - Estar regularmente matriculado em Curso de Graduação;</w:t>
      </w:r>
    </w:p>
    <w:p w:rsidR="00A57492" w:rsidRDefault="00356A8B">
      <w:pPr>
        <w:widowControl w:val="0"/>
      </w:pPr>
      <w:r>
        <w:t>2 - ter disponibilidade de 12 horas semanais;</w:t>
      </w:r>
    </w:p>
    <w:p w:rsidR="00A57492" w:rsidRDefault="00356A8B">
      <w:pPr>
        <w:widowControl w:val="0"/>
      </w:pPr>
      <w:r>
        <w:t>3 - ter sido aprovado em todas as disciplinas da monitoria  (Decisão Judicial e Meios de Impugnação DPF048).</w:t>
      </w:r>
    </w:p>
    <w:p w:rsidR="00A57492" w:rsidRDefault="00356A8B">
      <w:pPr>
        <w:widowControl w:val="0"/>
      </w:pPr>
      <w:r>
        <w:t xml:space="preserve">4 – Estar inscrito(a) na Plataforma Lattes e conter currículo atualizado; </w:t>
      </w:r>
    </w:p>
    <w:p w:rsidR="00A57492" w:rsidRDefault="00356A8B">
      <w:pPr>
        <w:widowControl w:val="0"/>
      </w:pPr>
      <w:r>
        <w:t xml:space="preserve">5 – Fornecer email de uso pessoal, que será utilizado como meio de </w:t>
      </w:r>
      <w:r>
        <w:t xml:space="preserve">comunicação oficial; </w:t>
      </w:r>
    </w:p>
    <w:p w:rsidR="00A57492" w:rsidRDefault="00356A8B">
      <w:pPr>
        <w:widowControl w:val="0"/>
        <w:jc w:val="both"/>
      </w:pPr>
      <w:r>
        <w:tab/>
        <w:t>Para inscrever-se, o aluno interessado deve:</w:t>
      </w:r>
    </w:p>
    <w:p w:rsidR="00A57492" w:rsidRDefault="00356A8B">
      <w:pPr>
        <w:widowControl w:val="0"/>
        <w:numPr>
          <w:ilvl w:val="0"/>
          <w:numId w:val="2"/>
        </w:numPr>
        <w:jc w:val="both"/>
      </w:pPr>
      <w:r>
        <w:t>dirigir-se à secretaria da faculdade, no prazo abaixo designado, pessoalmente ou por procuração;</w:t>
      </w:r>
    </w:p>
    <w:p w:rsidR="00A57492" w:rsidRDefault="00356A8B">
      <w:pPr>
        <w:widowControl w:val="0"/>
        <w:numPr>
          <w:ilvl w:val="0"/>
          <w:numId w:val="2"/>
        </w:numPr>
        <w:jc w:val="both"/>
      </w:pPr>
      <w:r>
        <w:t>apresentar, na data da realização da 1ª etapa do certame, currículo com comprovação de insc</w:t>
      </w:r>
      <w:r>
        <w:t xml:space="preserve">rição na plataforma Lattes.  </w:t>
      </w:r>
    </w:p>
    <w:p w:rsidR="00A57492" w:rsidRDefault="00A57492">
      <w:pPr>
        <w:widowControl w:val="0"/>
        <w:jc w:val="both"/>
        <w:rPr>
          <w:sz w:val="12"/>
          <w:szCs w:val="12"/>
        </w:rPr>
      </w:pPr>
    </w:p>
    <w:p w:rsidR="00A57492" w:rsidRDefault="00356A8B">
      <w:pPr>
        <w:widowControl w:val="0"/>
        <w:rPr>
          <w:u w:val="single"/>
        </w:rPr>
      </w:pPr>
      <w:r>
        <w:rPr>
          <w:b/>
          <w:bCs/>
          <w:u w:val="single"/>
        </w:rPr>
        <w:t xml:space="preserve">PROCESSO DE SELEÇÃO </w:t>
      </w:r>
    </w:p>
    <w:p w:rsidR="00A57492" w:rsidRDefault="00A57492">
      <w:pPr>
        <w:widowControl w:val="0"/>
        <w:rPr>
          <w:sz w:val="12"/>
          <w:szCs w:val="12"/>
        </w:rPr>
      </w:pPr>
    </w:p>
    <w:p w:rsidR="00A57492" w:rsidRDefault="00356A8B">
      <w:pPr>
        <w:widowControl w:val="0"/>
        <w:ind w:firstLine="720"/>
      </w:pPr>
      <w:r>
        <w:t xml:space="preserve">A seleção constará de: </w:t>
      </w:r>
    </w:p>
    <w:p w:rsidR="00A57492" w:rsidRDefault="00356A8B">
      <w:pPr>
        <w:pStyle w:val="PargrafodaLista"/>
        <w:widowControl w:val="0"/>
        <w:numPr>
          <w:ilvl w:val="0"/>
          <w:numId w:val="4"/>
        </w:numPr>
      </w:pPr>
      <w:r>
        <w:rPr>
          <w:b/>
          <w:bCs/>
        </w:rPr>
        <w:t>Prova de conhecimentos - Prova escrita</w:t>
      </w:r>
      <w:r>
        <w:t xml:space="preserve"> (</w:t>
      </w:r>
      <w:r>
        <w:rPr>
          <w:b/>
          <w:bCs/>
        </w:rPr>
        <w:t>100 pontos</w:t>
      </w:r>
      <w:r>
        <w:t>), que versará sobre pontos do programa da(s) disciplina(s) objeto da monitoria, sendo eles:</w:t>
      </w:r>
    </w:p>
    <w:p w:rsidR="00A57492" w:rsidRDefault="00356A8B">
      <w:pPr>
        <w:widowControl w:val="0"/>
        <w:ind w:left="709"/>
      </w:pPr>
      <w:r>
        <w:t>a) Decisões judiciais.</w:t>
      </w:r>
    </w:p>
    <w:p w:rsidR="00A57492" w:rsidRDefault="00356A8B">
      <w:pPr>
        <w:widowControl w:val="0"/>
        <w:ind w:left="709"/>
      </w:pPr>
      <w:r>
        <w:t>b) Coisa julg</w:t>
      </w:r>
      <w:r>
        <w:t xml:space="preserve">ada. </w:t>
      </w:r>
    </w:p>
    <w:p w:rsidR="00A57492" w:rsidRDefault="00356A8B">
      <w:pPr>
        <w:widowControl w:val="0"/>
        <w:ind w:left="709"/>
      </w:pPr>
      <w:r>
        <w:t>c) Recursos.</w:t>
      </w:r>
    </w:p>
    <w:p w:rsidR="00A57492" w:rsidRDefault="00356A8B">
      <w:pPr>
        <w:widowControl w:val="0"/>
        <w:ind w:left="709"/>
      </w:pPr>
      <w:r>
        <w:t>d) Ação Rescisória e outros meios de impugnação às decisões judiciais</w:t>
      </w:r>
    </w:p>
    <w:p w:rsidR="00A57492" w:rsidRDefault="00356A8B">
      <w:pPr>
        <w:widowControl w:val="0"/>
        <w:ind w:left="709"/>
        <w:jc w:val="both"/>
      </w:pPr>
      <w:r>
        <w:t>* Textos sugeridos: GRECO, Leonardo. Instituições de direito processual civil. Vol. III,. Rio de Janeiro, Gen-Forense, 2015, capítulos I a VI e capítulo X; DIDIER, Fre</w:t>
      </w:r>
      <w:r>
        <w:t xml:space="preserve">die; Cunha, Leonardo José Carneiro da. Apelação contra decisão interlocutória: apelação do vencido e apelação subordinada do vencedor. </w:t>
      </w:r>
      <w:r>
        <w:rPr>
          <w:i/>
          <w:iCs/>
        </w:rPr>
        <w:t xml:space="preserve">Revista de processo, </w:t>
      </w:r>
      <w:r>
        <w:t>vol, 241, março 2015; DIDIER, Fredie, Extensão da coisa julgada  à resolução da questão prejudicial.</w:t>
      </w:r>
      <w:r>
        <w:t xml:space="preserve"> </w:t>
      </w:r>
      <w:r>
        <w:rPr>
          <w:i/>
          <w:iCs/>
        </w:rPr>
        <w:t xml:space="preserve">Civil procedure review, </w:t>
      </w:r>
      <w:r>
        <w:t>v. 6, n. 1, jan-abr 2015, pp. 81-94.</w:t>
      </w:r>
    </w:p>
    <w:p w:rsidR="00A57492" w:rsidRDefault="00356A8B">
      <w:pPr>
        <w:pStyle w:val="PargrafodaLista"/>
        <w:widowControl w:val="0"/>
        <w:numPr>
          <w:ilvl w:val="0"/>
          <w:numId w:val="4"/>
        </w:numPr>
        <w:jc w:val="both"/>
      </w:pPr>
      <w:r>
        <w:rPr>
          <w:b/>
          <w:bCs/>
        </w:rPr>
        <w:t>Entrevista (50 pontos).</w:t>
      </w:r>
      <w:r>
        <w:t xml:space="preserve"> Na entrevista poderão ser abordados pontos específicos da prova escrita, incluindo a análise dos textos indicados para leitura.</w:t>
      </w:r>
    </w:p>
    <w:p w:rsidR="00A57492" w:rsidRDefault="00356A8B">
      <w:pPr>
        <w:pStyle w:val="PargrafodaLista"/>
        <w:widowControl w:val="0"/>
        <w:numPr>
          <w:ilvl w:val="0"/>
          <w:numId w:val="4"/>
        </w:numPr>
        <w:jc w:val="both"/>
      </w:pPr>
      <w:r>
        <w:rPr>
          <w:b/>
          <w:bCs/>
        </w:rPr>
        <w:t>Análise de currículo e histórico escolar</w:t>
      </w:r>
      <w:r>
        <w:t xml:space="preserve"> (50 pontos).’</w:t>
      </w:r>
    </w:p>
    <w:p w:rsidR="00A57492" w:rsidRDefault="00356A8B">
      <w:pPr>
        <w:pStyle w:val="PargrafodaLista"/>
        <w:widowControl w:val="0"/>
        <w:numPr>
          <w:ilvl w:val="0"/>
          <w:numId w:val="4"/>
        </w:numPr>
        <w:jc w:val="both"/>
      </w:pPr>
      <w:r>
        <w:t xml:space="preserve">A prova de conhecimento (prova escrita) terá caráter eliminatório e somente serão aprovados os candidatos que obtiverem nota superior a </w:t>
      </w:r>
      <w:r>
        <w:rPr>
          <w:b/>
          <w:bCs/>
        </w:rPr>
        <w:t>70 pontos.</w:t>
      </w:r>
    </w:p>
    <w:p w:rsidR="00A57492" w:rsidRDefault="00356A8B">
      <w:pPr>
        <w:pStyle w:val="PargrafodaLista"/>
        <w:widowControl w:val="0"/>
        <w:numPr>
          <w:ilvl w:val="0"/>
          <w:numId w:val="4"/>
        </w:numPr>
        <w:jc w:val="both"/>
      </w:pPr>
      <w:r>
        <w:t>Se houver empate na nota total dos candidatos (soma das três avaliações), será considerada, pa</w:t>
      </w:r>
      <w:r>
        <w:t xml:space="preserve">ra </w:t>
      </w:r>
      <w:r>
        <w:lastRenderedPageBreak/>
        <w:t xml:space="preserve">efeitos de desempate, a maior nota da prova escrita (prova de conhecimentos). Se houver empate na soma das notas e nas notas da prova escrita, será considerada, para efeitos de desempate, a maior nota da análise de currículo/histórico escolar. </w:t>
      </w:r>
    </w:p>
    <w:p w:rsidR="00A57492" w:rsidRDefault="00A57492">
      <w:pPr>
        <w:widowControl w:val="0"/>
      </w:pPr>
    </w:p>
    <w:p w:rsidR="00A57492" w:rsidRDefault="00A57492">
      <w:pPr>
        <w:widowControl w:val="0"/>
        <w:rPr>
          <w:sz w:val="12"/>
          <w:szCs w:val="12"/>
        </w:rPr>
      </w:pPr>
    </w:p>
    <w:p w:rsidR="00A57492" w:rsidRDefault="00356A8B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>RESUMO</w:t>
      </w:r>
      <w:r>
        <w:rPr>
          <w:b/>
          <w:bCs/>
          <w:u w:val="single"/>
        </w:rPr>
        <w:t xml:space="preserve"> DE DATAS E PRAZOS</w:t>
      </w:r>
    </w:p>
    <w:p w:rsidR="00A57492" w:rsidRDefault="00A57492">
      <w:pPr>
        <w:widowControl w:val="0"/>
        <w:rPr>
          <w:b/>
          <w:bCs/>
          <w:sz w:val="12"/>
          <w:szCs w:val="12"/>
        </w:rPr>
      </w:pPr>
    </w:p>
    <w:p w:rsidR="00A57492" w:rsidRDefault="00356A8B">
      <w:pPr>
        <w:widowControl w:val="0"/>
        <w:rPr>
          <w:b/>
          <w:bCs/>
        </w:rPr>
      </w:pPr>
      <w:r>
        <w:rPr>
          <w:b/>
          <w:bCs/>
        </w:rPr>
        <w:t>INSCRIÇÃO:</w:t>
      </w: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 xml:space="preserve">PERÍODO: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>28 a 31 de março de 2017, de acordo com o horário de funcionamento da Secretaria da Faculdade de Direito da UFJF</w:t>
            </w:r>
          </w:p>
        </w:tc>
      </w:tr>
    </w:tbl>
    <w:p w:rsidR="00A57492" w:rsidRDefault="00A57492">
      <w:pPr>
        <w:widowControl w:val="0"/>
        <w:rPr>
          <w:b/>
          <w:bCs/>
        </w:rPr>
      </w:pPr>
    </w:p>
    <w:p w:rsidR="00A57492" w:rsidRDefault="00A57492">
      <w:pPr>
        <w:rPr>
          <w:sz w:val="6"/>
          <w:szCs w:val="6"/>
        </w:rPr>
      </w:pP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>Secretaria da Faculdade de Direito da UFJF</w:t>
            </w:r>
          </w:p>
        </w:tc>
      </w:tr>
    </w:tbl>
    <w:p w:rsidR="00A57492" w:rsidRDefault="00A57492">
      <w:pPr>
        <w:widowControl w:val="0"/>
        <w:rPr>
          <w:sz w:val="6"/>
          <w:szCs w:val="6"/>
        </w:rPr>
      </w:pPr>
    </w:p>
    <w:p w:rsidR="00A57492" w:rsidRDefault="00A57492">
      <w:pPr>
        <w:widowControl w:val="0"/>
        <w:rPr>
          <w:sz w:val="12"/>
          <w:szCs w:val="12"/>
        </w:rPr>
      </w:pPr>
    </w:p>
    <w:p w:rsidR="00A57492" w:rsidRDefault="00356A8B">
      <w:pPr>
        <w:widowControl w:val="0"/>
        <w:rPr>
          <w:b/>
          <w:bCs/>
        </w:rPr>
      </w:pPr>
      <w:r>
        <w:rPr>
          <w:b/>
          <w:bCs/>
        </w:rPr>
        <w:t>SELEÇÃO:</w:t>
      </w: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 w:rsidRPr="002814E2">
              <w:rPr>
                <w:lang w:val="pt-BR"/>
              </w:rPr>
              <w:t>10</w:t>
            </w:r>
            <w:r>
              <w:t xml:space="preserve"> de abril de 2017, das 9h às 11h (prova escrita, com consulta ao código). As etapas subseqüentes (entrevista/prova oral/análise de currículo) serão marcadas posteriormente, mediante aviso por e-mail para todos os interessados. </w:t>
            </w:r>
          </w:p>
        </w:tc>
      </w:tr>
    </w:tbl>
    <w:p w:rsidR="00A57492" w:rsidRDefault="00A57492">
      <w:pPr>
        <w:widowControl w:val="0"/>
        <w:rPr>
          <w:b/>
          <w:bCs/>
        </w:rPr>
      </w:pPr>
    </w:p>
    <w:p w:rsidR="00A57492" w:rsidRDefault="00A57492">
      <w:pPr>
        <w:rPr>
          <w:sz w:val="6"/>
          <w:szCs w:val="6"/>
        </w:rPr>
      </w:pP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 xml:space="preserve">A ser designado </w:t>
            </w:r>
            <w:r>
              <w:t>pela secretaria (dentro da Faculdade de Direito). Favor chegar com 15 min de antecedência para informar-se sobre o local.</w:t>
            </w:r>
          </w:p>
        </w:tc>
      </w:tr>
    </w:tbl>
    <w:p w:rsidR="00A57492" w:rsidRDefault="00A57492">
      <w:pPr>
        <w:widowControl w:val="0"/>
        <w:rPr>
          <w:sz w:val="6"/>
          <w:szCs w:val="6"/>
        </w:rPr>
      </w:pPr>
    </w:p>
    <w:p w:rsidR="00A57492" w:rsidRDefault="00A57492">
      <w:pPr>
        <w:widowControl w:val="0"/>
        <w:rPr>
          <w:b/>
          <w:bCs/>
          <w:sz w:val="12"/>
          <w:szCs w:val="12"/>
        </w:rPr>
      </w:pPr>
    </w:p>
    <w:p w:rsidR="00A57492" w:rsidRDefault="00356A8B">
      <w:pPr>
        <w:widowControl w:val="0"/>
        <w:rPr>
          <w:b/>
          <w:bCs/>
        </w:rPr>
      </w:pPr>
      <w:r>
        <w:rPr>
          <w:b/>
          <w:bCs/>
        </w:rPr>
        <w:t>DIVULGAÇÃO DOS RESULTADOS DA SELEÇÃO:</w:t>
      </w: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>Até 1</w:t>
            </w:r>
            <w:r>
              <w:rPr>
                <w:lang w:val="en-US"/>
              </w:rPr>
              <w:t>3</w:t>
            </w:r>
            <w:r>
              <w:t>/4/2017</w:t>
            </w:r>
          </w:p>
        </w:tc>
      </w:tr>
    </w:tbl>
    <w:p w:rsidR="00A57492" w:rsidRDefault="00A57492">
      <w:pPr>
        <w:widowControl w:val="0"/>
        <w:rPr>
          <w:b/>
          <w:bCs/>
        </w:rPr>
      </w:pPr>
    </w:p>
    <w:p w:rsidR="00A57492" w:rsidRDefault="00A57492">
      <w:pPr>
        <w:rPr>
          <w:sz w:val="6"/>
          <w:szCs w:val="6"/>
        </w:rPr>
      </w:pPr>
    </w:p>
    <w:tbl>
      <w:tblPr>
        <w:tblStyle w:val="TableNormal"/>
        <w:tblW w:w="104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10"/>
        <w:gridCol w:w="8329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492" w:rsidRDefault="00356A8B">
            <w:pPr>
              <w:widowControl w:val="0"/>
            </w:pPr>
            <w:r>
              <w:t>Mural da faculdade e comunicação por email</w:t>
            </w:r>
          </w:p>
        </w:tc>
      </w:tr>
    </w:tbl>
    <w:p w:rsidR="00A57492" w:rsidRDefault="00A57492">
      <w:pPr>
        <w:widowControl w:val="0"/>
        <w:rPr>
          <w:sz w:val="6"/>
          <w:szCs w:val="6"/>
        </w:rPr>
      </w:pPr>
    </w:p>
    <w:p w:rsidR="00A57492" w:rsidRDefault="00A57492">
      <w:pPr>
        <w:widowControl w:val="0"/>
        <w:rPr>
          <w:sz w:val="12"/>
          <w:szCs w:val="12"/>
        </w:rPr>
      </w:pPr>
    </w:p>
    <w:p w:rsidR="00A57492" w:rsidRDefault="00356A8B">
      <w:pPr>
        <w:widowControl w:val="0"/>
      </w:pPr>
      <w:r>
        <w:rPr>
          <w:u w:val="single"/>
        </w:rPr>
        <w:t>Juiz de</w:t>
      </w:r>
      <w:r>
        <w:rPr>
          <w:u w:val="single"/>
        </w:rPr>
        <w:t xml:space="preserve"> Fora</w:t>
      </w:r>
      <w:r>
        <w:t xml:space="preserve">, </w:t>
      </w:r>
      <w:bookmarkStart w:id="1" w:name="Dia_atual"/>
      <w:r>
        <w:t>2</w:t>
      </w:r>
      <w:bookmarkEnd w:id="1"/>
      <w:r>
        <w:t xml:space="preserve">7 de </w:t>
      </w:r>
      <w:r>
        <w:rPr>
          <w:u w:val="single"/>
        </w:rPr>
        <w:t>março</w:t>
      </w:r>
      <w:r>
        <w:t xml:space="preserve"> de </w:t>
      </w:r>
      <w:r>
        <w:rPr>
          <w:u w:val="single"/>
        </w:rPr>
        <w:t>2017</w:t>
      </w:r>
      <w:r>
        <w:t>.</w:t>
      </w:r>
    </w:p>
    <w:p w:rsidR="00A57492" w:rsidRDefault="00A57492">
      <w:pPr>
        <w:widowControl w:val="0"/>
        <w:rPr>
          <w:sz w:val="12"/>
          <w:szCs w:val="12"/>
        </w:rPr>
      </w:pPr>
    </w:p>
    <w:tbl>
      <w:tblPr>
        <w:tblStyle w:val="TableNormal"/>
        <w:tblW w:w="103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81"/>
        <w:gridCol w:w="5182"/>
      </w:tblGrid>
      <w:tr w:rsidR="00A57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0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492" w:rsidRDefault="00356A8B">
            <w:pPr>
              <w:widowControl w:val="0"/>
              <w:jc w:val="center"/>
            </w:pPr>
            <w:r>
              <w:t>_________________________________</w:t>
            </w:r>
          </w:p>
          <w:p w:rsidR="00A57492" w:rsidRDefault="00356A8B">
            <w:pPr>
              <w:widowControl w:val="0"/>
              <w:jc w:val="center"/>
            </w:pPr>
            <w:r>
              <w:t>Chefe do Departamento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492" w:rsidRDefault="00356A8B">
            <w:pPr>
              <w:widowControl w:val="0"/>
              <w:jc w:val="center"/>
            </w:pPr>
            <w:r>
              <w:t>_________________________________</w:t>
            </w:r>
          </w:p>
          <w:p w:rsidR="00A57492" w:rsidRDefault="00356A8B">
            <w:pPr>
              <w:widowControl w:val="0"/>
              <w:jc w:val="center"/>
            </w:pPr>
            <w:r>
              <w:t>Professor Orientador</w:t>
            </w:r>
          </w:p>
          <w:p w:rsidR="00A57492" w:rsidRDefault="00356A8B">
            <w:pPr>
              <w:widowControl w:val="0"/>
              <w:jc w:val="center"/>
            </w:pPr>
            <w:r>
              <w:t>Márcio Carvalho Faria</w:t>
            </w:r>
          </w:p>
          <w:p w:rsidR="00A57492" w:rsidRDefault="00A57492">
            <w:pPr>
              <w:widowControl w:val="0"/>
              <w:jc w:val="center"/>
            </w:pPr>
          </w:p>
          <w:p w:rsidR="00A57492" w:rsidRDefault="00A57492">
            <w:pPr>
              <w:widowControl w:val="0"/>
              <w:jc w:val="center"/>
            </w:pPr>
          </w:p>
          <w:p w:rsidR="00A57492" w:rsidRDefault="00A57492">
            <w:pPr>
              <w:widowControl w:val="0"/>
              <w:jc w:val="center"/>
            </w:pPr>
          </w:p>
          <w:p w:rsidR="00A57492" w:rsidRDefault="00A57492">
            <w:pPr>
              <w:widowControl w:val="0"/>
              <w:jc w:val="center"/>
            </w:pPr>
          </w:p>
          <w:p w:rsidR="00A57492" w:rsidRDefault="00A57492">
            <w:pPr>
              <w:widowControl w:val="0"/>
              <w:jc w:val="center"/>
            </w:pPr>
          </w:p>
          <w:p w:rsidR="00A57492" w:rsidRDefault="00356A8B">
            <w:pPr>
              <w:widowControl w:val="0"/>
              <w:jc w:val="center"/>
            </w:pPr>
            <w:r>
              <w:t>_________________________________</w:t>
            </w:r>
          </w:p>
          <w:p w:rsidR="00A57492" w:rsidRDefault="00356A8B">
            <w:pPr>
              <w:widowControl w:val="0"/>
              <w:jc w:val="center"/>
            </w:pPr>
            <w:r>
              <w:t>Professor Orientador</w:t>
            </w:r>
          </w:p>
          <w:p w:rsidR="00A57492" w:rsidRDefault="00356A8B">
            <w:pPr>
              <w:widowControl w:val="0"/>
              <w:jc w:val="center"/>
            </w:pPr>
            <w:r>
              <w:t>Clarissa Diniz Guedes</w:t>
            </w:r>
          </w:p>
        </w:tc>
      </w:tr>
    </w:tbl>
    <w:p w:rsidR="00A57492" w:rsidRDefault="00A57492">
      <w:pPr>
        <w:widowControl w:val="0"/>
      </w:pPr>
    </w:p>
    <w:sectPr w:rsidR="00A57492" w:rsidSect="00A57492">
      <w:headerReference w:type="default" r:id="rId8"/>
      <w:footerReference w:type="default" r:id="rId9"/>
      <w:pgSz w:w="11900" w:h="16840"/>
      <w:pgMar w:top="720" w:right="720" w:bottom="720" w:left="964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8B" w:rsidRDefault="00356A8B" w:rsidP="00A57492">
      <w:pPr>
        <w:pStyle w:val="Hyperlink"/>
      </w:pPr>
      <w:r>
        <w:separator/>
      </w:r>
    </w:p>
  </w:endnote>
  <w:endnote w:type="continuationSeparator" w:id="1">
    <w:p w:rsidR="00356A8B" w:rsidRDefault="00356A8B" w:rsidP="00A57492">
      <w:pPr>
        <w:pStyle w:val="Hyperlin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92" w:rsidRDefault="00A57492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8B" w:rsidRDefault="00356A8B" w:rsidP="00A57492">
      <w:pPr>
        <w:pStyle w:val="Hyperlink"/>
      </w:pPr>
      <w:r>
        <w:separator/>
      </w:r>
    </w:p>
  </w:footnote>
  <w:footnote w:type="continuationSeparator" w:id="1">
    <w:p w:rsidR="00356A8B" w:rsidRDefault="00356A8B" w:rsidP="00A57492">
      <w:pPr>
        <w:pStyle w:val="Hyperlin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92" w:rsidRDefault="00A57492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76F"/>
    <w:multiLevelType w:val="hybridMultilevel"/>
    <w:tmpl w:val="7C762F20"/>
    <w:numStyleLink w:val="EstiloImportado1"/>
  </w:abstractNum>
  <w:abstractNum w:abstractNumId="1">
    <w:nsid w:val="50A62A5F"/>
    <w:multiLevelType w:val="hybridMultilevel"/>
    <w:tmpl w:val="7C762F20"/>
    <w:styleLink w:val="EstiloImportado1"/>
    <w:lvl w:ilvl="0" w:tplc="6E9A6BF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C127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1EF45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2D89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A0205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A3FBC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6909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283EF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0F3AE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D847A6"/>
    <w:multiLevelType w:val="hybridMultilevel"/>
    <w:tmpl w:val="CE1EF248"/>
    <w:styleLink w:val="EstiloImportado2"/>
    <w:lvl w:ilvl="0" w:tplc="5440904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866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A9AD2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7A426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2381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4E07A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8C90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0214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58FCD0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5358D0"/>
    <w:multiLevelType w:val="hybridMultilevel"/>
    <w:tmpl w:val="CE1EF248"/>
    <w:numStyleLink w:val="EstiloImportado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492"/>
    <w:rsid w:val="002814E2"/>
    <w:rsid w:val="00356A8B"/>
    <w:rsid w:val="00A5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492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57492"/>
    <w:rPr>
      <w:u w:val="single"/>
    </w:rPr>
  </w:style>
  <w:style w:type="table" w:customStyle="1" w:styleId="TableNormal">
    <w:name w:val="Table Normal"/>
    <w:rsid w:val="00A57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5749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EstiloImportado1">
    <w:name w:val="Estilo Importado 1"/>
    <w:rsid w:val="00A57492"/>
    <w:pPr>
      <w:numPr>
        <w:numId w:val="1"/>
      </w:numPr>
    </w:pPr>
  </w:style>
  <w:style w:type="paragraph" w:styleId="PargrafodaLista">
    <w:name w:val="List Paragraph"/>
    <w:rsid w:val="00A57492"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2">
    <w:name w:val="Estilo Importado 2"/>
    <w:rsid w:val="00A57492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1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4E2"/>
    <w:rPr>
      <w:rFonts w:ascii="Tahoma" w:hAnsi="Tahoma" w:cs="Tahoma"/>
      <w:color w:val="000000"/>
      <w:sz w:val="16"/>
      <w:szCs w:val="16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2017-03-29T20:33:00Z</cp:lastPrinted>
  <dcterms:created xsi:type="dcterms:W3CDTF">2017-03-29T20:34:00Z</dcterms:created>
  <dcterms:modified xsi:type="dcterms:W3CDTF">2017-03-29T20:34:00Z</dcterms:modified>
</cp:coreProperties>
</file>